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ACC41" w14:textId="158C6FA3" w:rsidR="000110ED" w:rsidRPr="000110ED" w:rsidRDefault="000110ED" w:rsidP="000110ED">
      <w:pPr>
        <w:spacing w:before="100" w:beforeAutospacing="1" w:after="100" w:afterAutospacing="1" w:line="360" w:lineRule="auto"/>
        <w:jc w:val="center"/>
        <w:rPr>
          <w:rFonts w:ascii="Times New Roman" w:hAnsi="Times New Roman" w:cs="Times New Roman"/>
          <w:b/>
          <w:bCs/>
          <w:sz w:val="24"/>
        </w:rPr>
      </w:pPr>
      <w:r w:rsidRPr="000110ED">
        <w:rPr>
          <w:rFonts w:ascii="Times New Roman" w:hAnsi="Times New Roman" w:cs="Times New Roman"/>
          <w:b/>
          <w:bCs/>
          <w:sz w:val="24"/>
        </w:rPr>
        <w:t xml:space="preserve">Rising </w:t>
      </w:r>
      <w:r w:rsidR="00EF45A5">
        <w:rPr>
          <w:rFonts w:ascii="Times New Roman" w:hAnsi="Times New Roman" w:cs="Times New Roman"/>
          <w:b/>
          <w:bCs/>
          <w:sz w:val="24"/>
        </w:rPr>
        <w:t>Powers</w:t>
      </w:r>
      <w:r w:rsidR="00AA151F">
        <w:rPr>
          <w:rFonts w:ascii="Times New Roman" w:hAnsi="Times New Roman" w:cs="Times New Roman"/>
          <w:b/>
          <w:bCs/>
          <w:sz w:val="24"/>
        </w:rPr>
        <w:t xml:space="preserve">, Status Competition, and </w:t>
      </w:r>
      <w:r w:rsidR="002F42F9">
        <w:rPr>
          <w:rFonts w:ascii="Times New Roman" w:hAnsi="Times New Roman" w:cs="Times New Roman"/>
          <w:b/>
          <w:bCs/>
          <w:sz w:val="24"/>
        </w:rPr>
        <w:t xml:space="preserve">Global </w:t>
      </w:r>
      <w:r w:rsidR="00AA151F">
        <w:rPr>
          <w:rFonts w:ascii="Times New Roman" w:hAnsi="Times New Roman" w:cs="Times New Roman"/>
          <w:b/>
          <w:bCs/>
          <w:sz w:val="24"/>
        </w:rPr>
        <w:t>Governance:</w:t>
      </w:r>
      <w:r w:rsidR="00EF45A5">
        <w:rPr>
          <w:rFonts w:ascii="Times New Roman" w:hAnsi="Times New Roman" w:cs="Times New Roman"/>
          <w:b/>
          <w:bCs/>
          <w:sz w:val="24"/>
        </w:rPr>
        <w:t xml:space="preserve"> </w:t>
      </w:r>
      <w:r w:rsidR="002F42F9">
        <w:rPr>
          <w:rFonts w:ascii="Times New Roman" w:hAnsi="Times New Roman" w:cs="Times New Roman"/>
          <w:b/>
          <w:bCs/>
          <w:sz w:val="24"/>
        </w:rPr>
        <w:t xml:space="preserve">Conceptual Challenges in Need of </w:t>
      </w:r>
      <w:r w:rsidR="00A638A2">
        <w:rPr>
          <w:rFonts w:ascii="Times New Roman" w:hAnsi="Times New Roman" w:cs="Times New Roman"/>
          <w:b/>
          <w:bCs/>
          <w:sz w:val="24"/>
        </w:rPr>
        <w:t>Further Examination.</w:t>
      </w:r>
      <w:r w:rsidR="002F42F9">
        <w:rPr>
          <w:rFonts w:ascii="Times New Roman" w:hAnsi="Times New Roman" w:cs="Times New Roman"/>
          <w:b/>
          <w:bCs/>
          <w:sz w:val="24"/>
        </w:rPr>
        <w:t xml:space="preserve"> </w:t>
      </w:r>
    </w:p>
    <w:p w14:paraId="40EEAA1F" w14:textId="009D0FC2" w:rsidR="000110ED" w:rsidRPr="00AF2CBE" w:rsidRDefault="000110ED" w:rsidP="000110ED">
      <w:pPr>
        <w:pStyle w:val="NoSpacing"/>
        <w:jc w:val="center"/>
        <w:rPr>
          <w:rFonts w:ascii="Times New Roman" w:hAnsi="Times New Roman" w:cs="Times New Roman"/>
          <w:sz w:val="24"/>
          <w:szCs w:val="24"/>
        </w:rPr>
      </w:pPr>
      <w:r w:rsidRPr="00AF2CBE">
        <w:rPr>
          <w:rFonts w:ascii="Times New Roman" w:hAnsi="Times New Roman" w:cs="Times New Roman"/>
          <w:sz w:val="24"/>
          <w:szCs w:val="24"/>
        </w:rPr>
        <w:t>Thomas J. Volgy</w:t>
      </w:r>
    </w:p>
    <w:p w14:paraId="2B12F97B" w14:textId="0F06E141" w:rsidR="00C414E1" w:rsidRDefault="000110ED" w:rsidP="00A42574">
      <w:pPr>
        <w:pStyle w:val="NoSpacing"/>
        <w:jc w:val="center"/>
        <w:rPr>
          <w:rFonts w:ascii="Times New Roman" w:hAnsi="Times New Roman" w:cs="Times New Roman"/>
          <w:sz w:val="24"/>
          <w:szCs w:val="24"/>
        </w:rPr>
      </w:pPr>
      <w:r w:rsidRPr="00AF2CBE">
        <w:rPr>
          <w:rFonts w:ascii="Times New Roman" w:hAnsi="Times New Roman" w:cs="Times New Roman"/>
          <w:sz w:val="24"/>
          <w:szCs w:val="24"/>
        </w:rPr>
        <w:t>Kelly Marie Gordell</w:t>
      </w:r>
    </w:p>
    <w:p w14:paraId="15FC2613" w14:textId="77777777" w:rsidR="006E22FE" w:rsidRDefault="006E22FE" w:rsidP="00A42574">
      <w:pPr>
        <w:pStyle w:val="NoSpacing"/>
        <w:jc w:val="center"/>
        <w:rPr>
          <w:rFonts w:ascii="Times New Roman" w:hAnsi="Times New Roman" w:cs="Times New Roman"/>
          <w:sz w:val="24"/>
          <w:szCs w:val="24"/>
        </w:rPr>
      </w:pPr>
    </w:p>
    <w:p w14:paraId="711DC9FD" w14:textId="2B4B9E5B" w:rsidR="006E22FE" w:rsidRDefault="006E22FE" w:rsidP="00A42574">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CA1AE2">
          <w:rPr>
            <w:rStyle w:val="Hyperlink"/>
            <w:rFonts w:ascii="Times New Roman" w:hAnsi="Times New Roman" w:cs="Times New Roman"/>
            <w:sz w:val="24"/>
            <w:szCs w:val="24"/>
          </w:rPr>
          <w:t>volgy@email.arizona.edu</w:t>
        </w:r>
      </w:hyperlink>
    </w:p>
    <w:p w14:paraId="7F73D54D" w14:textId="77777777" w:rsidR="006E22FE" w:rsidRDefault="006E22FE" w:rsidP="00A42574">
      <w:pPr>
        <w:pStyle w:val="NoSpacing"/>
        <w:jc w:val="center"/>
        <w:rPr>
          <w:rFonts w:ascii="Times New Roman" w:hAnsi="Times New Roman" w:cs="Times New Roman"/>
          <w:sz w:val="24"/>
          <w:szCs w:val="24"/>
        </w:rPr>
      </w:pPr>
    </w:p>
    <w:p w14:paraId="2095C2F7" w14:textId="5307B60B" w:rsidR="000529E5" w:rsidRDefault="000529E5" w:rsidP="00A42574">
      <w:pPr>
        <w:pStyle w:val="NoSpacing"/>
        <w:jc w:val="center"/>
        <w:rPr>
          <w:rFonts w:ascii="Times New Roman" w:hAnsi="Times New Roman" w:cs="Times New Roman"/>
          <w:sz w:val="24"/>
          <w:szCs w:val="24"/>
        </w:rPr>
      </w:pPr>
    </w:p>
    <w:p w14:paraId="0D897B18" w14:textId="3B810928" w:rsidR="00D47EAC" w:rsidRDefault="00D47EAC">
      <w:r>
        <w:br w:type="page"/>
      </w:r>
    </w:p>
    <w:p w14:paraId="0E3FFC98" w14:textId="568D1C4D" w:rsidR="00923411" w:rsidRDefault="00923411" w:rsidP="008D333F">
      <w:pPr>
        <w:spacing w:line="480" w:lineRule="auto"/>
        <w:rPr>
          <w:rFonts w:ascii="Times New Roman" w:hAnsi="Times New Roman" w:cs="Times New Roman"/>
          <w:sz w:val="24"/>
          <w:szCs w:val="24"/>
        </w:rPr>
      </w:pPr>
      <w:r>
        <w:lastRenderedPageBreak/>
        <w:tab/>
      </w:r>
      <w:r w:rsidRPr="00923411">
        <w:rPr>
          <w:rFonts w:ascii="Times New Roman" w:hAnsi="Times New Roman" w:cs="Times New Roman"/>
          <w:sz w:val="24"/>
          <w:szCs w:val="24"/>
        </w:rPr>
        <w:t>Much of the literature on status and its implications for international politics has come in two broad waves.</w:t>
      </w:r>
      <w:r>
        <w:rPr>
          <w:rFonts w:ascii="Times New Roman" w:hAnsi="Times New Roman" w:cs="Times New Roman"/>
          <w:sz w:val="24"/>
          <w:szCs w:val="24"/>
        </w:rPr>
        <w:t xml:space="preserve">  </w:t>
      </w:r>
      <w:r w:rsidR="00B97A3B">
        <w:rPr>
          <w:rFonts w:ascii="Times New Roman" w:hAnsi="Times New Roman" w:cs="Times New Roman"/>
          <w:sz w:val="24"/>
          <w:szCs w:val="24"/>
        </w:rPr>
        <w:t xml:space="preserve">The first </w:t>
      </w:r>
      <w:r w:rsidR="008D333F">
        <w:rPr>
          <w:rFonts w:ascii="Times New Roman" w:hAnsi="Times New Roman" w:cs="Times New Roman"/>
          <w:sz w:val="24"/>
          <w:szCs w:val="24"/>
        </w:rPr>
        <w:t xml:space="preserve">occurred roughly half-way through the Cold War; the second has emerged after Cold War’s end as the contours of the new world order </w:t>
      </w:r>
      <w:r w:rsidR="002C166A">
        <w:rPr>
          <w:rFonts w:ascii="Times New Roman" w:hAnsi="Times New Roman" w:cs="Times New Roman"/>
          <w:sz w:val="24"/>
          <w:szCs w:val="24"/>
        </w:rPr>
        <w:t>became opaque.</w:t>
      </w:r>
      <w:r w:rsidR="008D333F">
        <w:rPr>
          <w:rStyle w:val="FootnoteReference"/>
          <w:rFonts w:ascii="Times New Roman" w:hAnsi="Times New Roman" w:cs="Times New Roman"/>
          <w:sz w:val="24"/>
          <w:szCs w:val="24"/>
        </w:rPr>
        <w:footnoteReference w:id="1"/>
      </w:r>
      <w:r w:rsidR="008D333F">
        <w:rPr>
          <w:rFonts w:ascii="Times New Roman" w:hAnsi="Times New Roman" w:cs="Times New Roman"/>
          <w:sz w:val="24"/>
          <w:szCs w:val="24"/>
        </w:rPr>
        <w:t xml:space="preserve"> </w:t>
      </w:r>
      <w:r w:rsidR="00C24B90">
        <w:rPr>
          <w:rFonts w:ascii="Times New Roman" w:hAnsi="Times New Roman" w:cs="Times New Roman"/>
          <w:sz w:val="24"/>
          <w:szCs w:val="24"/>
        </w:rPr>
        <w:t>Especially over the last decade</w:t>
      </w:r>
      <w:r w:rsidR="008D333F">
        <w:rPr>
          <w:rFonts w:ascii="Times New Roman" w:hAnsi="Times New Roman" w:cs="Times New Roman"/>
          <w:sz w:val="24"/>
          <w:szCs w:val="24"/>
        </w:rPr>
        <w:t xml:space="preserve"> scholars</w:t>
      </w:r>
      <w:r w:rsidR="00C24B90">
        <w:rPr>
          <w:rFonts w:ascii="Times New Roman" w:hAnsi="Times New Roman" w:cs="Times New Roman"/>
          <w:sz w:val="24"/>
          <w:szCs w:val="24"/>
        </w:rPr>
        <w:t xml:space="preserve">, utilizing </w:t>
      </w:r>
      <w:r w:rsidR="008D333F">
        <w:rPr>
          <w:rFonts w:ascii="Times New Roman" w:hAnsi="Times New Roman" w:cs="Times New Roman"/>
          <w:sz w:val="24"/>
          <w:szCs w:val="24"/>
        </w:rPr>
        <w:t>a variety of theoretical perspectives (and using a wide range of methodologies)</w:t>
      </w:r>
      <w:r w:rsidR="00C24B90">
        <w:rPr>
          <w:rFonts w:ascii="Times New Roman" w:hAnsi="Times New Roman" w:cs="Times New Roman"/>
          <w:sz w:val="24"/>
          <w:szCs w:val="24"/>
        </w:rPr>
        <w:t>,</w:t>
      </w:r>
      <w:r w:rsidR="008D333F">
        <w:rPr>
          <w:rFonts w:ascii="Times New Roman" w:hAnsi="Times New Roman" w:cs="Times New Roman"/>
          <w:sz w:val="24"/>
          <w:szCs w:val="24"/>
        </w:rPr>
        <w:t xml:space="preserve"> have refocused on status considerations as a driving force in international politics.</w:t>
      </w:r>
    </w:p>
    <w:p w14:paraId="106E5C7A" w14:textId="48DE5F32" w:rsidR="008D333F" w:rsidRDefault="008D333F" w:rsidP="008D333F">
      <w:pPr>
        <w:spacing w:line="480" w:lineRule="auto"/>
        <w:rPr>
          <w:rFonts w:ascii="Times New Roman" w:hAnsi="Times New Roman" w:cs="Times New Roman"/>
          <w:sz w:val="24"/>
          <w:szCs w:val="24"/>
        </w:rPr>
      </w:pPr>
      <w:r>
        <w:rPr>
          <w:rFonts w:ascii="Times New Roman" w:hAnsi="Times New Roman" w:cs="Times New Roman"/>
          <w:sz w:val="24"/>
          <w:szCs w:val="24"/>
        </w:rPr>
        <w:tab/>
      </w:r>
      <w:r w:rsidR="005564C1">
        <w:rPr>
          <w:rFonts w:ascii="Times New Roman" w:hAnsi="Times New Roman" w:cs="Times New Roman"/>
          <w:sz w:val="24"/>
          <w:szCs w:val="24"/>
        </w:rPr>
        <w:t>This special issue focuses</w:t>
      </w:r>
      <w:r w:rsidR="00480279">
        <w:rPr>
          <w:rFonts w:ascii="Times New Roman" w:hAnsi="Times New Roman" w:cs="Times New Roman"/>
          <w:sz w:val="24"/>
          <w:szCs w:val="24"/>
        </w:rPr>
        <w:t xml:space="preserve"> on a critical aspect of status dynamics in international politics: </w:t>
      </w:r>
      <w:r>
        <w:rPr>
          <w:rFonts w:ascii="Times New Roman" w:hAnsi="Times New Roman" w:cs="Times New Roman"/>
          <w:sz w:val="24"/>
          <w:szCs w:val="24"/>
        </w:rPr>
        <w:t>the intersection between rising powers, their competition over status, and the implications of such status competition for global (and regional) governance.</w:t>
      </w:r>
      <w:r w:rsidR="00FC1FFA">
        <w:rPr>
          <w:rFonts w:ascii="Times New Roman" w:hAnsi="Times New Roman" w:cs="Times New Roman"/>
          <w:sz w:val="24"/>
          <w:szCs w:val="24"/>
        </w:rPr>
        <w:t xml:space="preserve"> </w:t>
      </w:r>
      <w:r w:rsidR="00EE35CC">
        <w:rPr>
          <w:rFonts w:ascii="Times New Roman" w:hAnsi="Times New Roman" w:cs="Times New Roman"/>
          <w:sz w:val="24"/>
          <w:szCs w:val="24"/>
        </w:rPr>
        <w:t>Pursuing t</w:t>
      </w:r>
      <w:r w:rsidR="00CB29FB">
        <w:rPr>
          <w:rFonts w:ascii="Times New Roman" w:hAnsi="Times New Roman" w:cs="Times New Roman"/>
          <w:sz w:val="24"/>
          <w:szCs w:val="24"/>
        </w:rPr>
        <w:t>h</w:t>
      </w:r>
      <w:r w:rsidR="004845C3">
        <w:rPr>
          <w:rFonts w:ascii="Times New Roman" w:hAnsi="Times New Roman" w:cs="Times New Roman"/>
          <w:sz w:val="24"/>
          <w:szCs w:val="24"/>
        </w:rPr>
        <w:t xml:space="preserve">is task is </w:t>
      </w:r>
      <w:r w:rsidR="00CB29FB">
        <w:rPr>
          <w:rFonts w:ascii="Times New Roman" w:hAnsi="Times New Roman" w:cs="Times New Roman"/>
          <w:sz w:val="24"/>
          <w:szCs w:val="24"/>
        </w:rPr>
        <w:t>nothing short of heroic since all three concepts</w:t>
      </w:r>
      <w:r w:rsidR="004845C3">
        <w:rPr>
          <w:rFonts w:ascii="Times New Roman" w:hAnsi="Times New Roman" w:cs="Times New Roman"/>
          <w:sz w:val="24"/>
          <w:szCs w:val="24"/>
        </w:rPr>
        <w:t>—rising powers, status competition and global governance—are heavily contested by scholars.</w:t>
      </w:r>
      <w:r w:rsidR="006644CB">
        <w:rPr>
          <w:rFonts w:ascii="Times New Roman" w:hAnsi="Times New Roman" w:cs="Times New Roman"/>
          <w:sz w:val="24"/>
          <w:szCs w:val="24"/>
        </w:rPr>
        <w:t xml:space="preserve"> Below, we </w:t>
      </w:r>
      <w:r w:rsidR="001E70DF">
        <w:rPr>
          <w:rFonts w:ascii="Times New Roman" w:hAnsi="Times New Roman" w:cs="Times New Roman"/>
          <w:sz w:val="24"/>
          <w:szCs w:val="24"/>
        </w:rPr>
        <w:t>raise</w:t>
      </w:r>
      <w:r w:rsidR="006644CB">
        <w:rPr>
          <w:rFonts w:ascii="Times New Roman" w:hAnsi="Times New Roman" w:cs="Times New Roman"/>
          <w:sz w:val="24"/>
          <w:szCs w:val="24"/>
        </w:rPr>
        <w:t xml:space="preserve"> a number of issues regarding </w:t>
      </w:r>
      <w:r w:rsidR="00C24B90">
        <w:rPr>
          <w:rFonts w:ascii="Times New Roman" w:hAnsi="Times New Roman" w:cs="Times New Roman"/>
          <w:sz w:val="24"/>
          <w:szCs w:val="24"/>
        </w:rPr>
        <w:t>what is meant by rising powers,</w:t>
      </w:r>
      <w:r w:rsidR="006644CB">
        <w:rPr>
          <w:rFonts w:ascii="Times New Roman" w:hAnsi="Times New Roman" w:cs="Times New Roman"/>
          <w:sz w:val="24"/>
          <w:szCs w:val="24"/>
        </w:rPr>
        <w:t xml:space="preserve"> </w:t>
      </w:r>
      <w:r w:rsidR="001E70DF">
        <w:rPr>
          <w:rFonts w:ascii="Times New Roman" w:hAnsi="Times New Roman" w:cs="Times New Roman"/>
          <w:sz w:val="24"/>
          <w:szCs w:val="24"/>
        </w:rPr>
        <w:t xml:space="preserve">the </w:t>
      </w:r>
      <w:r w:rsidR="00480279">
        <w:rPr>
          <w:rFonts w:ascii="Times New Roman" w:hAnsi="Times New Roman" w:cs="Times New Roman"/>
          <w:sz w:val="24"/>
          <w:szCs w:val="24"/>
        </w:rPr>
        <w:t xml:space="preserve">varied conditions that may or may not generate </w:t>
      </w:r>
      <w:r w:rsidR="006644CB">
        <w:rPr>
          <w:rFonts w:ascii="Times New Roman" w:hAnsi="Times New Roman" w:cs="Times New Roman"/>
          <w:sz w:val="24"/>
          <w:szCs w:val="24"/>
        </w:rPr>
        <w:t>status competition</w:t>
      </w:r>
      <w:r w:rsidR="00C24B90">
        <w:rPr>
          <w:rFonts w:ascii="Times New Roman" w:hAnsi="Times New Roman" w:cs="Times New Roman"/>
          <w:sz w:val="24"/>
          <w:szCs w:val="24"/>
        </w:rPr>
        <w:t>,</w:t>
      </w:r>
      <w:r w:rsidR="006644CB">
        <w:rPr>
          <w:rFonts w:ascii="Times New Roman" w:hAnsi="Times New Roman" w:cs="Times New Roman"/>
          <w:sz w:val="24"/>
          <w:szCs w:val="24"/>
        </w:rPr>
        <w:t xml:space="preserve"> </w:t>
      </w:r>
      <w:r w:rsidR="00480279">
        <w:rPr>
          <w:rFonts w:ascii="Times New Roman" w:hAnsi="Times New Roman" w:cs="Times New Roman"/>
          <w:sz w:val="24"/>
          <w:szCs w:val="24"/>
        </w:rPr>
        <w:t xml:space="preserve">and the consequences of status competition for global governance, </w:t>
      </w:r>
      <w:r w:rsidR="006644CB">
        <w:rPr>
          <w:rFonts w:ascii="Times New Roman" w:hAnsi="Times New Roman" w:cs="Times New Roman"/>
          <w:sz w:val="24"/>
          <w:szCs w:val="24"/>
        </w:rPr>
        <w:t xml:space="preserve">with the aim of suggesting that these issues need </w:t>
      </w:r>
      <w:r w:rsidR="00643749">
        <w:rPr>
          <w:rFonts w:ascii="Times New Roman" w:hAnsi="Times New Roman" w:cs="Times New Roman"/>
          <w:sz w:val="24"/>
          <w:szCs w:val="24"/>
        </w:rPr>
        <w:t xml:space="preserve">further clarification and analysis </w:t>
      </w:r>
      <w:r w:rsidR="006644CB">
        <w:rPr>
          <w:rFonts w:ascii="Times New Roman" w:hAnsi="Times New Roman" w:cs="Times New Roman"/>
          <w:sz w:val="24"/>
          <w:szCs w:val="24"/>
        </w:rPr>
        <w:t>in order for us to advance knowledge in this area.</w:t>
      </w:r>
    </w:p>
    <w:p w14:paraId="36D005DF" w14:textId="7B3C9428" w:rsidR="006644CB" w:rsidRPr="006644CB" w:rsidRDefault="006644CB" w:rsidP="008D333F">
      <w:pPr>
        <w:spacing w:line="480" w:lineRule="auto"/>
        <w:rPr>
          <w:rFonts w:ascii="Times New Roman" w:hAnsi="Times New Roman" w:cs="Times New Roman"/>
          <w:b/>
          <w:i/>
          <w:sz w:val="24"/>
          <w:szCs w:val="24"/>
        </w:rPr>
      </w:pPr>
      <w:r w:rsidRPr="006644CB">
        <w:rPr>
          <w:rFonts w:ascii="Times New Roman" w:hAnsi="Times New Roman" w:cs="Times New Roman"/>
          <w:b/>
          <w:i/>
          <w:sz w:val="24"/>
          <w:szCs w:val="24"/>
        </w:rPr>
        <w:t>So, what</w:t>
      </w:r>
      <w:r w:rsidR="00372270">
        <w:rPr>
          <w:rFonts w:ascii="Times New Roman" w:hAnsi="Times New Roman" w:cs="Times New Roman"/>
          <w:b/>
          <w:i/>
          <w:sz w:val="24"/>
          <w:szCs w:val="24"/>
        </w:rPr>
        <w:t xml:space="preserve"> is</w:t>
      </w:r>
      <w:r w:rsidRPr="006644CB">
        <w:rPr>
          <w:rFonts w:ascii="Times New Roman" w:hAnsi="Times New Roman" w:cs="Times New Roman"/>
          <w:b/>
          <w:i/>
          <w:sz w:val="24"/>
          <w:szCs w:val="24"/>
        </w:rPr>
        <w:t xml:space="preserve"> a rising power?</w:t>
      </w:r>
    </w:p>
    <w:p w14:paraId="01BDA49A" w14:textId="7D2E8A43" w:rsidR="00066543" w:rsidRDefault="00986472" w:rsidP="008D333F">
      <w:pPr>
        <w:spacing w:line="480" w:lineRule="auto"/>
        <w:rPr>
          <w:rFonts w:ascii="Times New Roman" w:hAnsi="Times New Roman" w:cs="Times New Roman"/>
          <w:sz w:val="24"/>
          <w:szCs w:val="24"/>
        </w:rPr>
      </w:pPr>
      <w:r>
        <w:rPr>
          <w:rFonts w:ascii="Times New Roman" w:hAnsi="Times New Roman" w:cs="Times New Roman"/>
          <w:sz w:val="24"/>
          <w:szCs w:val="24"/>
        </w:rPr>
        <w:tab/>
      </w:r>
      <w:r w:rsidR="00066543">
        <w:rPr>
          <w:rFonts w:ascii="Times New Roman" w:hAnsi="Times New Roman" w:cs="Times New Roman"/>
          <w:sz w:val="24"/>
          <w:szCs w:val="24"/>
        </w:rPr>
        <w:t xml:space="preserve">Consider the following states: </w:t>
      </w:r>
      <w:bookmarkStart w:id="0" w:name="_Hlk509770118"/>
      <w:r w:rsidR="00372270">
        <w:rPr>
          <w:rFonts w:ascii="Times New Roman" w:hAnsi="Times New Roman" w:cs="Times New Roman"/>
          <w:sz w:val="24"/>
          <w:szCs w:val="24"/>
        </w:rPr>
        <w:t xml:space="preserve">Brazil, </w:t>
      </w:r>
      <w:r w:rsidR="00066543">
        <w:rPr>
          <w:rFonts w:ascii="Times New Roman" w:hAnsi="Times New Roman" w:cs="Times New Roman"/>
          <w:sz w:val="24"/>
          <w:szCs w:val="24"/>
        </w:rPr>
        <w:t xml:space="preserve">China, India, </w:t>
      </w:r>
      <w:r w:rsidR="00372270">
        <w:rPr>
          <w:rFonts w:ascii="Times New Roman" w:hAnsi="Times New Roman" w:cs="Times New Roman"/>
          <w:sz w:val="24"/>
          <w:szCs w:val="24"/>
        </w:rPr>
        <w:t>Iran, the Russian Federation, South Africa, and</w:t>
      </w:r>
      <w:r w:rsidR="00E03EA8">
        <w:rPr>
          <w:rFonts w:ascii="Times New Roman" w:hAnsi="Times New Roman" w:cs="Times New Roman"/>
          <w:sz w:val="24"/>
          <w:szCs w:val="24"/>
        </w:rPr>
        <w:t xml:space="preserve"> </w:t>
      </w:r>
      <w:r w:rsidR="00066543">
        <w:rPr>
          <w:rFonts w:ascii="Times New Roman" w:hAnsi="Times New Roman" w:cs="Times New Roman"/>
          <w:sz w:val="24"/>
          <w:szCs w:val="24"/>
        </w:rPr>
        <w:t>Turkey</w:t>
      </w:r>
      <w:bookmarkEnd w:id="0"/>
      <w:r w:rsidR="00066543">
        <w:rPr>
          <w:rFonts w:ascii="Times New Roman" w:hAnsi="Times New Roman" w:cs="Times New Roman"/>
          <w:sz w:val="24"/>
          <w:szCs w:val="24"/>
        </w:rPr>
        <w:t xml:space="preserve">. All of these states are considered </w:t>
      </w:r>
      <w:r w:rsidR="00A638A2">
        <w:rPr>
          <w:rFonts w:ascii="Times New Roman" w:hAnsi="Times New Roman" w:cs="Times New Roman"/>
          <w:sz w:val="24"/>
          <w:szCs w:val="24"/>
        </w:rPr>
        <w:t>to be</w:t>
      </w:r>
      <w:r w:rsidR="00066543">
        <w:rPr>
          <w:rFonts w:ascii="Times New Roman" w:hAnsi="Times New Roman" w:cs="Times New Roman"/>
          <w:sz w:val="24"/>
          <w:szCs w:val="24"/>
        </w:rPr>
        <w:t xml:space="preserve"> rising powers in this project.</w:t>
      </w:r>
      <w:r w:rsidR="00EB2EEB">
        <w:rPr>
          <w:rStyle w:val="FootnoteReference"/>
          <w:rFonts w:ascii="Times New Roman" w:hAnsi="Times New Roman" w:cs="Times New Roman"/>
          <w:sz w:val="24"/>
          <w:szCs w:val="24"/>
        </w:rPr>
        <w:footnoteReference w:id="2"/>
      </w:r>
      <w:r w:rsidR="00066543">
        <w:rPr>
          <w:rFonts w:ascii="Times New Roman" w:hAnsi="Times New Roman" w:cs="Times New Roman"/>
          <w:sz w:val="24"/>
          <w:szCs w:val="24"/>
        </w:rPr>
        <w:t xml:space="preserve"> Yet, are all these </w:t>
      </w:r>
      <w:r w:rsidR="00474CE5">
        <w:rPr>
          <w:rFonts w:ascii="Times New Roman" w:hAnsi="Times New Roman" w:cs="Times New Roman"/>
          <w:sz w:val="24"/>
          <w:szCs w:val="24"/>
        </w:rPr>
        <w:t xml:space="preserve">states </w:t>
      </w:r>
      <w:r w:rsidR="00066543">
        <w:rPr>
          <w:rFonts w:ascii="Times New Roman" w:hAnsi="Times New Roman" w:cs="Times New Roman"/>
          <w:sz w:val="24"/>
          <w:szCs w:val="24"/>
        </w:rPr>
        <w:t>rising powers? Have some already risen</w:t>
      </w:r>
      <w:r w:rsidR="00643749">
        <w:rPr>
          <w:rFonts w:ascii="Times New Roman" w:hAnsi="Times New Roman" w:cs="Times New Roman"/>
          <w:sz w:val="24"/>
          <w:szCs w:val="24"/>
        </w:rPr>
        <w:t xml:space="preserve"> while others are actually experiencing a </w:t>
      </w:r>
      <w:r w:rsidR="00643749">
        <w:rPr>
          <w:rFonts w:ascii="Times New Roman" w:hAnsi="Times New Roman" w:cs="Times New Roman"/>
          <w:sz w:val="24"/>
          <w:szCs w:val="24"/>
        </w:rPr>
        <w:lastRenderedPageBreak/>
        <w:t>decline</w:t>
      </w:r>
      <w:r w:rsidR="00066543">
        <w:rPr>
          <w:rFonts w:ascii="Times New Roman" w:hAnsi="Times New Roman" w:cs="Times New Roman"/>
          <w:sz w:val="24"/>
          <w:szCs w:val="24"/>
        </w:rPr>
        <w:t xml:space="preserve">? Are </w:t>
      </w:r>
      <w:r w:rsidR="00643749">
        <w:rPr>
          <w:rFonts w:ascii="Times New Roman" w:hAnsi="Times New Roman" w:cs="Times New Roman"/>
          <w:sz w:val="24"/>
          <w:szCs w:val="24"/>
        </w:rPr>
        <w:t xml:space="preserve">rising powers actually </w:t>
      </w:r>
      <w:r w:rsidR="00066543">
        <w:rPr>
          <w:rFonts w:ascii="Times New Roman" w:hAnsi="Times New Roman" w:cs="Times New Roman"/>
          <w:sz w:val="24"/>
          <w:szCs w:val="24"/>
        </w:rPr>
        <w:t xml:space="preserve">rising at a rate that will allow them to </w:t>
      </w:r>
      <w:r w:rsidR="00C24B90">
        <w:rPr>
          <w:rFonts w:ascii="Times New Roman" w:hAnsi="Times New Roman" w:cs="Times New Roman"/>
          <w:sz w:val="24"/>
          <w:szCs w:val="24"/>
        </w:rPr>
        <w:t>achieve a higher position,</w:t>
      </w:r>
      <w:r w:rsidR="00066543">
        <w:rPr>
          <w:rFonts w:ascii="Times New Roman" w:hAnsi="Times New Roman" w:cs="Times New Roman"/>
          <w:sz w:val="24"/>
          <w:szCs w:val="24"/>
        </w:rPr>
        <w:t xml:space="preserve"> from a status perspective, other than wh</w:t>
      </w:r>
      <w:r w:rsidR="00E03EA8">
        <w:rPr>
          <w:rFonts w:ascii="Times New Roman" w:hAnsi="Times New Roman" w:cs="Times New Roman"/>
          <w:sz w:val="24"/>
          <w:szCs w:val="24"/>
        </w:rPr>
        <w:t>ere</w:t>
      </w:r>
      <w:r w:rsidR="00066543">
        <w:rPr>
          <w:rFonts w:ascii="Times New Roman" w:hAnsi="Times New Roman" w:cs="Times New Roman"/>
          <w:sz w:val="24"/>
          <w:szCs w:val="24"/>
        </w:rPr>
        <w:t xml:space="preserve"> they are </w:t>
      </w:r>
      <w:r w:rsidR="005861CD">
        <w:rPr>
          <w:rFonts w:ascii="Times New Roman" w:hAnsi="Times New Roman" w:cs="Times New Roman"/>
          <w:sz w:val="24"/>
          <w:szCs w:val="24"/>
        </w:rPr>
        <w:t>presently</w:t>
      </w:r>
      <w:r w:rsidR="00066543">
        <w:rPr>
          <w:rFonts w:ascii="Times New Roman" w:hAnsi="Times New Roman" w:cs="Times New Roman"/>
          <w:sz w:val="24"/>
          <w:szCs w:val="24"/>
        </w:rPr>
        <w:t xml:space="preserve">? </w:t>
      </w:r>
      <w:r w:rsidR="00474CE5">
        <w:rPr>
          <w:rFonts w:ascii="Times New Roman" w:hAnsi="Times New Roman" w:cs="Times New Roman"/>
          <w:sz w:val="24"/>
          <w:szCs w:val="24"/>
        </w:rPr>
        <w:t xml:space="preserve">Are they all seeking the same kind of status? </w:t>
      </w:r>
      <w:r w:rsidR="00066543">
        <w:rPr>
          <w:rFonts w:ascii="Times New Roman" w:hAnsi="Times New Roman" w:cs="Times New Roman"/>
          <w:sz w:val="24"/>
          <w:szCs w:val="24"/>
        </w:rPr>
        <w:t xml:space="preserve">And when they get </w:t>
      </w:r>
      <w:r w:rsidR="00F30063">
        <w:rPr>
          <w:rFonts w:ascii="Times New Roman" w:hAnsi="Times New Roman" w:cs="Times New Roman"/>
          <w:sz w:val="24"/>
          <w:szCs w:val="24"/>
        </w:rPr>
        <w:t>“</w:t>
      </w:r>
      <w:r w:rsidR="00066543">
        <w:rPr>
          <w:rFonts w:ascii="Times New Roman" w:hAnsi="Times New Roman" w:cs="Times New Roman"/>
          <w:sz w:val="24"/>
          <w:szCs w:val="24"/>
        </w:rPr>
        <w:t>there</w:t>
      </w:r>
      <w:r w:rsidR="00F30063">
        <w:rPr>
          <w:rFonts w:ascii="Times New Roman" w:hAnsi="Times New Roman" w:cs="Times New Roman"/>
          <w:sz w:val="24"/>
          <w:szCs w:val="24"/>
        </w:rPr>
        <w:t>”</w:t>
      </w:r>
      <w:r w:rsidR="00066543">
        <w:rPr>
          <w:rFonts w:ascii="Times New Roman" w:hAnsi="Times New Roman" w:cs="Times New Roman"/>
          <w:sz w:val="24"/>
          <w:szCs w:val="24"/>
        </w:rPr>
        <w:t xml:space="preserve">, how will we know that they have arrived? </w:t>
      </w:r>
    </w:p>
    <w:p w14:paraId="28028EE4" w14:textId="6360F0F7" w:rsidR="001E70DF" w:rsidRPr="005104BF" w:rsidRDefault="001E70DF" w:rsidP="008D333F">
      <w:pPr>
        <w:spacing w:line="480" w:lineRule="auto"/>
        <w:rPr>
          <w:rFonts w:ascii="Times New Roman" w:hAnsi="Times New Roman" w:cs="Times New Roman"/>
          <w:b/>
          <w:sz w:val="24"/>
          <w:szCs w:val="24"/>
        </w:rPr>
      </w:pPr>
      <w:r w:rsidRPr="005104BF">
        <w:rPr>
          <w:rFonts w:ascii="Times New Roman" w:hAnsi="Times New Roman" w:cs="Times New Roman"/>
          <w:b/>
          <w:sz w:val="24"/>
          <w:szCs w:val="24"/>
        </w:rPr>
        <w:t>Figure 1. A Variety of Status Clubs in International Politics</w:t>
      </w:r>
      <w:r w:rsidR="005104BF">
        <w:rPr>
          <w:rFonts w:ascii="Times New Roman" w:hAnsi="Times New Roman" w:cs="Times New Roman"/>
          <w:b/>
          <w:sz w:val="24"/>
          <w:szCs w:val="24"/>
        </w:rPr>
        <w:t>.</w:t>
      </w:r>
    </w:p>
    <w:p w14:paraId="2D858758" w14:textId="77777777" w:rsidR="004E7ADC" w:rsidRDefault="004E7ADC" w:rsidP="004E7ADC">
      <w:pPr>
        <w:spacing w:line="480" w:lineRule="auto"/>
        <w:rPr>
          <w:rFonts w:ascii="Times New Roman" w:hAnsi="Times New Roman" w:cs="Times New Roman"/>
          <w:sz w:val="24"/>
          <w:szCs w:val="24"/>
        </w:rPr>
      </w:pPr>
      <w:r w:rsidRPr="004E7ADC">
        <w:rPr>
          <w:rFonts w:ascii="Times New Roman" w:hAnsi="Times New Roman" w:cs="Times New Roman"/>
          <w:noProof/>
          <w:sz w:val="24"/>
          <w:szCs w:val="24"/>
        </w:rPr>
        <w:drawing>
          <wp:inline distT="0" distB="0" distL="0" distR="0" wp14:anchorId="7ED4A37B" wp14:editId="5E0E62D6">
            <wp:extent cx="5943600" cy="2472855"/>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5036" cy="2485934"/>
                    </a:xfrm>
                    <a:prstGeom prst="rect">
                      <a:avLst/>
                    </a:prstGeom>
                  </pic:spPr>
                </pic:pic>
              </a:graphicData>
            </a:graphic>
          </wp:inline>
        </w:drawing>
      </w:r>
    </w:p>
    <w:p w14:paraId="2A278510" w14:textId="422839B6" w:rsidR="006644CB" w:rsidRDefault="004E7ADC" w:rsidP="004E7ADC">
      <w:pPr>
        <w:spacing w:line="480" w:lineRule="auto"/>
        <w:rPr>
          <w:rFonts w:ascii="Times New Roman" w:hAnsi="Times New Roman" w:cs="Times New Roman"/>
          <w:sz w:val="24"/>
          <w:szCs w:val="24"/>
        </w:rPr>
      </w:pPr>
      <w:r>
        <w:rPr>
          <w:rFonts w:ascii="Times New Roman" w:hAnsi="Times New Roman" w:cs="Times New Roman"/>
          <w:sz w:val="24"/>
          <w:szCs w:val="24"/>
        </w:rPr>
        <w:tab/>
      </w:r>
      <w:r w:rsidR="00C734BF">
        <w:rPr>
          <w:rFonts w:ascii="Times New Roman" w:hAnsi="Times New Roman" w:cs="Times New Roman"/>
          <w:sz w:val="24"/>
          <w:szCs w:val="24"/>
        </w:rPr>
        <w:t xml:space="preserve">From the standpoint of the status literature, states “earn” their status in one of two ways: </w:t>
      </w:r>
      <w:r w:rsidR="00F30063">
        <w:rPr>
          <w:rFonts w:ascii="Times New Roman" w:hAnsi="Times New Roman" w:cs="Times New Roman"/>
          <w:sz w:val="24"/>
          <w:szCs w:val="24"/>
        </w:rPr>
        <w:t xml:space="preserve">by becoming members of a group </w:t>
      </w:r>
      <w:r w:rsidR="00C734BF">
        <w:rPr>
          <w:rFonts w:ascii="Times New Roman" w:hAnsi="Times New Roman" w:cs="Times New Roman"/>
          <w:sz w:val="24"/>
          <w:szCs w:val="24"/>
        </w:rPr>
        <w:t xml:space="preserve">that confers </w:t>
      </w:r>
      <w:r w:rsidR="00F30063">
        <w:rPr>
          <w:rFonts w:ascii="Times New Roman" w:hAnsi="Times New Roman" w:cs="Times New Roman"/>
          <w:sz w:val="24"/>
          <w:szCs w:val="24"/>
        </w:rPr>
        <w:t xml:space="preserve">a certain amount of </w:t>
      </w:r>
      <w:r w:rsidR="00C734BF">
        <w:rPr>
          <w:rFonts w:ascii="Times New Roman" w:hAnsi="Times New Roman" w:cs="Times New Roman"/>
          <w:sz w:val="24"/>
          <w:szCs w:val="24"/>
        </w:rPr>
        <w:t xml:space="preserve">status on </w:t>
      </w:r>
      <w:r w:rsidR="00F30063">
        <w:rPr>
          <w:rFonts w:ascii="Times New Roman" w:hAnsi="Times New Roman" w:cs="Times New Roman"/>
          <w:sz w:val="24"/>
          <w:szCs w:val="24"/>
        </w:rPr>
        <w:t xml:space="preserve">all of its </w:t>
      </w:r>
      <w:r w:rsidR="00C734BF">
        <w:rPr>
          <w:rFonts w:ascii="Times New Roman" w:hAnsi="Times New Roman" w:cs="Times New Roman"/>
          <w:sz w:val="24"/>
          <w:szCs w:val="24"/>
        </w:rPr>
        <w:t xml:space="preserve">members, </w:t>
      </w:r>
      <w:r w:rsidR="00C734BF" w:rsidRPr="00474CE5">
        <w:rPr>
          <w:rFonts w:ascii="Times New Roman" w:hAnsi="Times New Roman" w:cs="Times New Roman"/>
          <w:i/>
          <w:sz w:val="24"/>
          <w:szCs w:val="24"/>
        </w:rPr>
        <w:t>and</w:t>
      </w:r>
      <w:r w:rsidR="00C734BF">
        <w:rPr>
          <w:rFonts w:ascii="Times New Roman" w:hAnsi="Times New Roman" w:cs="Times New Roman"/>
          <w:sz w:val="24"/>
          <w:szCs w:val="24"/>
        </w:rPr>
        <w:t xml:space="preserve"> as well through a hierarchical ranking in the grouping</w:t>
      </w:r>
      <w:r w:rsidR="00F85F1B">
        <w:rPr>
          <w:rFonts w:ascii="Times New Roman" w:hAnsi="Times New Roman" w:cs="Times New Roman"/>
          <w:sz w:val="24"/>
          <w:szCs w:val="24"/>
        </w:rPr>
        <w:t xml:space="preserve"> (Larson 2017</w:t>
      </w:r>
      <w:r w:rsidR="00AE68F1">
        <w:rPr>
          <w:rFonts w:ascii="Times New Roman" w:hAnsi="Times New Roman" w:cs="Times New Roman"/>
          <w:sz w:val="24"/>
          <w:szCs w:val="24"/>
        </w:rPr>
        <w:t xml:space="preserve">; </w:t>
      </w:r>
      <w:proofErr w:type="spellStart"/>
      <w:r w:rsidR="00AE68F1">
        <w:rPr>
          <w:rFonts w:ascii="Times New Roman" w:hAnsi="Times New Roman" w:cs="Times New Roman"/>
          <w:sz w:val="24"/>
          <w:szCs w:val="24"/>
        </w:rPr>
        <w:t>Renshon</w:t>
      </w:r>
      <w:proofErr w:type="spellEnd"/>
      <w:r w:rsidR="00AE68F1">
        <w:rPr>
          <w:rFonts w:ascii="Times New Roman" w:hAnsi="Times New Roman" w:cs="Times New Roman"/>
          <w:sz w:val="24"/>
          <w:szCs w:val="24"/>
        </w:rPr>
        <w:t xml:space="preserve"> 2017</w:t>
      </w:r>
      <w:r w:rsidR="00F85F1B">
        <w:rPr>
          <w:rFonts w:ascii="Times New Roman" w:hAnsi="Times New Roman" w:cs="Times New Roman"/>
          <w:sz w:val="24"/>
          <w:szCs w:val="24"/>
        </w:rPr>
        <w:t>)</w:t>
      </w:r>
      <w:r w:rsidR="00C734BF">
        <w:rPr>
          <w:rFonts w:ascii="Times New Roman" w:hAnsi="Times New Roman" w:cs="Times New Roman"/>
          <w:sz w:val="24"/>
          <w:szCs w:val="24"/>
        </w:rPr>
        <w:t>. With respect to membership in a status grouping—what we call membership in a status club—there are a number of such groupings available in international politics. As Figure 1 suggests, these are the typical status clubs where membership is potentially available to “rising powers”</w:t>
      </w:r>
      <w:r w:rsidR="00066543">
        <w:rPr>
          <w:rFonts w:ascii="Times New Roman" w:hAnsi="Times New Roman" w:cs="Times New Roman"/>
          <w:sz w:val="24"/>
          <w:szCs w:val="24"/>
        </w:rPr>
        <w:t>, granting them additional status from the community of states.</w:t>
      </w:r>
      <w:r w:rsidR="00C734BF">
        <w:rPr>
          <w:rFonts w:ascii="Times New Roman" w:hAnsi="Times New Roman" w:cs="Times New Roman"/>
          <w:sz w:val="24"/>
          <w:szCs w:val="24"/>
        </w:rPr>
        <w:t xml:space="preserve"> </w:t>
      </w:r>
    </w:p>
    <w:p w14:paraId="627440A8" w14:textId="2244778A" w:rsidR="00B4610B" w:rsidRDefault="00B4610B" w:rsidP="00B4610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These clubs are not mutually exclusive; a state may be a major power, a nuclear power, and a superpower.  A state may be a member of the G-8, the G-20, the UNP5, and one of the BRICS. Table 1 illustrates the overlapping distribution of these memberships. </w:t>
      </w:r>
    </w:p>
    <w:p w14:paraId="44E06120" w14:textId="3AAF38F2" w:rsidR="00B4610B" w:rsidRPr="00C13156" w:rsidRDefault="00B4610B" w:rsidP="00B4610B">
      <w:pPr>
        <w:rPr>
          <w:rFonts w:ascii="Times New Roman" w:hAnsi="Times New Roman" w:cs="Times New Roman"/>
          <w:b/>
          <w:sz w:val="24"/>
          <w:szCs w:val="24"/>
        </w:rPr>
      </w:pPr>
      <w:r w:rsidRPr="00C13156">
        <w:rPr>
          <w:rFonts w:ascii="Times New Roman" w:hAnsi="Times New Roman" w:cs="Times New Roman"/>
          <w:b/>
          <w:sz w:val="24"/>
          <w:szCs w:val="24"/>
        </w:rPr>
        <w:lastRenderedPageBreak/>
        <w:t>Table 1.  “Rising Powers’” Membership in Various Status Clubs.</w:t>
      </w:r>
    </w:p>
    <w:tbl>
      <w:tblPr>
        <w:tblStyle w:val="TableGrid"/>
        <w:tblW w:w="0" w:type="auto"/>
        <w:tblLook w:val="04A0" w:firstRow="1" w:lastRow="0" w:firstColumn="1" w:lastColumn="0" w:noHBand="0" w:noVBand="1"/>
      </w:tblPr>
      <w:tblGrid>
        <w:gridCol w:w="1190"/>
        <w:gridCol w:w="1310"/>
        <w:gridCol w:w="989"/>
        <w:gridCol w:w="1029"/>
        <w:gridCol w:w="939"/>
        <w:gridCol w:w="922"/>
        <w:gridCol w:w="979"/>
        <w:gridCol w:w="1014"/>
        <w:gridCol w:w="978"/>
      </w:tblGrid>
      <w:tr w:rsidR="00B4610B" w14:paraId="29C7D968" w14:textId="77777777" w:rsidTr="003F5197">
        <w:tc>
          <w:tcPr>
            <w:tcW w:w="1038" w:type="dxa"/>
          </w:tcPr>
          <w:p w14:paraId="6EFADD84" w14:textId="77777777" w:rsidR="00B4610B" w:rsidRDefault="00B4610B" w:rsidP="003F5197">
            <w:r>
              <w:t>STATE</w:t>
            </w:r>
          </w:p>
        </w:tc>
        <w:tc>
          <w:tcPr>
            <w:tcW w:w="1039" w:type="dxa"/>
          </w:tcPr>
          <w:p w14:paraId="29110971" w14:textId="77777777" w:rsidR="00B4610B" w:rsidRDefault="00B4610B" w:rsidP="003F5197">
            <w:r>
              <w:t>Superpower</w:t>
            </w:r>
          </w:p>
        </w:tc>
        <w:tc>
          <w:tcPr>
            <w:tcW w:w="1039" w:type="dxa"/>
          </w:tcPr>
          <w:p w14:paraId="0DA3EA87" w14:textId="77777777" w:rsidR="00B4610B" w:rsidRDefault="00B4610B" w:rsidP="003F5197">
            <w:r>
              <w:t>Major Power</w:t>
            </w:r>
          </w:p>
        </w:tc>
        <w:tc>
          <w:tcPr>
            <w:tcW w:w="1039" w:type="dxa"/>
          </w:tcPr>
          <w:p w14:paraId="6468F28A" w14:textId="77777777" w:rsidR="00B4610B" w:rsidRDefault="00B4610B" w:rsidP="003F5197">
            <w:r>
              <w:t>Regional Power</w:t>
            </w:r>
          </w:p>
        </w:tc>
        <w:tc>
          <w:tcPr>
            <w:tcW w:w="1039" w:type="dxa"/>
          </w:tcPr>
          <w:p w14:paraId="292D8C80" w14:textId="77777777" w:rsidR="00B4610B" w:rsidRDefault="00B4610B" w:rsidP="003F5197">
            <w:r>
              <w:t>G-7/8</w:t>
            </w:r>
          </w:p>
        </w:tc>
        <w:tc>
          <w:tcPr>
            <w:tcW w:w="1039" w:type="dxa"/>
          </w:tcPr>
          <w:p w14:paraId="5373C159" w14:textId="77777777" w:rsidR="00B4610B" w:rsidRDefault="00B4610B" w:rsidP="003F5197">
            <w:r>
              <w:t>G-20</w:t>
            </w:r>
          </w:p>
        </w:tc>
        <w:tc>
          <w:tcPr>
            <w:tcW w:w="1039" w:type="dxa"/>
          </w:tcPr>
          <w:p w14:paraId="1ACD4BAD" w14:textId="77777777" w:rsidR="00B4610B" w:rsidRDefault="00B4610B" w:rsidP="003F5197">
            <w:r>
              <w:t>BRICS</w:t>
            </w:r>
          </w:p>
        </w:tc>
        <w:tc>
          <w:tcPr>
            <w:tcW w:w="1039" w:type="dxa"/>
          </w:tcPr>
          <w:p w14:paraId="50DCE53E" w14:textId="77777777" w:rsidR="00B4610B" w:rsidRDefault="00B4610B" w:rsidP="003F5197">
            <w:r>
              <w:t>Nuclear Power</w:t>
            </w:r>
          </w:p>
        </w:tc>
        <w:tc>
          <w:tcPr>
            <w:tcW w:w="1039" w:type="dxa"/>
          </w:tcPr>
          <w:p w14:paraId="45535A9C" w14:textId="77777777" w:rsidR="00B4610B" w:rsidRDefault="00B4610B" w:rsidP="003F5197">
            <w:r>
              <w:t>UNP5</w:t>
            </w:r>
          </w:p>
        </w:tc>
      </w:tr>
      <w:tr w:rsidR="00B4610B" w14:paraId="61EB1696" w14:textId="77777777" w:rsidTr="003F5197">
        <w:tc>
          <w:tcPr>
            <w:tcW w:w="1038" w:type="dxa"/>
          </w:tcPr>
          <w:p w14:paraId="72EC303D" w14:textId="77777777" w:rsidR="00B4610B" w:rsidRDefault="00B4610B" w:rsidP="003F5197">
            <w:r>
              <w:t>China</w:t>
            </w:r>
          </w:p>
        </w:tc>
        <w:tc>
          <w:tcPr>
            <w:tcW w:w="1039" w:type="dxa"/>
          </w:tcPr>
          <w:p w14:paraId="6A037C9C" w14:textId="77777777" w:rsidR="00B4610B" w:rsidRDefault="00B4610B" w:rsidP="003F5197"/>
        </w:tc>
        <w:tc>
          <w:tcPr>
            <w:tcW w:w="1039" w:type="dxa"/>
          </w:tcPr>
          <w:p w14:paraId="22D04E9B" w14:textId="77777777" w:rsidR="00B4610B" w:rsidRDefault="00B4610B" w:rsidP="003F5197">
            <w:r>
              <w:t>x</w:t>
            </w:r>
          </w:p>
        </w:tc>
        <w:tc>
          <w:tcPr>
            <w:tcW w:w="1039" w:type="dxa"/>
          </w:tcPr>
          <w:p w14:paraId="2C64534C" w14:textId="77777777" w:rsidR="00B4610B" w:rsidRDefault="00B4610B" w:rsidP="003F5197"/>
        </w:tc>
        <w:tc>
          <w:tcPr>
            <w:tcW w:w="1039" w:type="dxa"/>
          </w:tcPr>
          <w:p w14:paraId="1FDC4CEC" w14:textId="77777777" w:rsidR="00B4610B" w:rsidRDefault="00B4610B" w:rsidP="003F5197"/>
        </w:tc>
        <w:tc>
          <w:tcPr>
            <w:tcW w:w="1039" w:type="dxa"/>
          </w:tcPr>
          <w:p w14:paraId="617FCA0E" w14:textId="77777777" w:rsidR="00B4610B" w:rsidRDefault="00B4610B" w:rsidP="003F5197">
            <w:r>
              <w:t>X</w:t>
            </w:r>
          </w:p>
        </w:tc>
        <w:tc>
          <w:tcPr>
            <w:tcW w:w="1039" w:type="dxa"/>
          </w:tcPr>
          <w:p w14:paraId="7E77707F" w14:textId="77777777" w:rsidR="00B4610B" w:rsidRDefault="00B4610B" w:rsidP="003F5197">
            <w:r>
              <w:t>X</w:t>
            </w:r>
          </w:p>
        </w:tc>
        <w:tc>
          <w:tcPr>
            <w:tcW w:w="1039" w:type="dxa"/>
          </w:tcPr>
          <w:p w14:paraId="4723AA2D" w14:textId="77777777" w:rsidR="00B4610B" w:rsidRDefault="00B4610B" w:rsidP="003F5197">
            <w:r>
              <w:t>x</w:t>
            </w:r>
          </w:p>
        </w:tc>
        <w:tc>
          <w:tcPr>
            <w:tcW w:w="1039" w:type="dxa"/>
          </w:tcPr>
          <w:p w14:paraId="3E446BDF" w14:textId="77777777" w:rsidR="00B4610B" w:rsidRDefault="00B4610B" w:rsidP="003F5197">
            <w:r>
              <w:t>x</w:t>
            </w:r>
          </w:p>
        </w:tc>
      </w:tr>
      <w:tr w:rsidR="00B4610B" w14:paraId="5579C058" w14:textId="77777777" w:rsidTr="003F5197">
        <w:tc>
          <w:tcPr>
            <w:tcW w:w="1038" w:type="dxa"/>
          </w:tcPr>
          <w:p w14:paraId="12CE6AC3" w14:textId="77777777" w:rsidR="00B4610B" w:rsidRDefault="00B4610B" w:rsidP="003F5197">
            <w:r>
              <w:t>India</w:t>
            </w:r>
          </w:p>
        </w:tc>
        <w:tc>
          <w:tcPr>
            <w:tcW w:w="1039" w:type="dxa"/>
          </w:tcPr>
          <w:p w14:paraId="13E26E65" w14:textId="77777777" w:rsidR="00B4610B" w:rsidRDefault="00B4610B" w:rsidP="003F5197"/>
        </w:tc>
        <w:tc>
          <w:tcPr>
            <w:tcW w:w="1039" w:type="dxa"/>
          </w:tcPr>
          <w:p w14:paraId="70B1CAF7" w14:textId="77777777" w:rsidR="00B4610B" w:rsidRDefault="00B4610B" w:rsidP="003F5197"/>
        </w:tc>
        <w:tc>
          <w:tcPr>
            <w:tcW w:w="1039" w:type="dxa"/>
          </w:tcPr>
          <w:p w14:paraId="6FC4615C" w14:textId="77777777" w:rsidR="00B4610B" w:rsidRDefault="00B4610B" w:rsidP="003F5197">
            <w:r>
              <w:t>x</w:t>
            </w:r>
          </w:p>
        </w:tc>
        <w:tc>
          <w:tcPr>
            <w:tcW w:w="1039" w:type="dxa"/>
          </w:tcPr>
          <w:p w14:paraId="5BD7FB89" w14:textId="77777777" w:rsidR="00B4610B" w:rsidRDefault="00B4610B" w:rsidP="003F5197"/>
        </w:tc>
        <w:tc>
          <w:tcPr>
            <w:tcW w:w="1039" w:type="dxa"/>
          </w:tcPr>
          <w:p w14:paraId="07D98D04" w14:textId="77777777" w:rsidR="00B4610B" w:rsidRDefault="00B4610B" w:rsidP="003F5197">
            <w:r>
              <w:t>X</w:t>
            </w:r>
          </w:p>
        </w:tc>
        <w:tc>
          <w:tcPr>
            <w:tcW w:w="1039" w:type="dxa"/>
          </w:tcPr>
          <w:p w14:paraId="4003888D" w14:textId="77777777" w:rsidR="00B4610B" w:rsidRDefault="00B4610B" w:rsidP="003F5197">
            <w:r>
              <w:t>x</w:t>
            </w:r>
          </w:p>
        </w:tc>
        <w:tc>
          <w:tcPr>
            <w:tcW w:w="1039" w:type="dxa"/>
          </w:tcPr>
          <w:p w14:paraId="629A689B" w14:textId="77777777" w:rsidR="00B4610B" w:rsidRDefault="00B4610B" w:rsidP="003F5197">
            <w:r>
              <w:t>x</w:t>
            </w:r>
          </w:p>
        </w:tc>
        <w:tc>
          <w:tcPr>
            <w:tcW w:w="1039" w:type="dxa"/>
          </w:tcPr>
          <w:p w14:paraId="58ABE4EA" w14:textId="77777777" w:rsidR="00B4610B" w:rsidRDefault="00B4610B" w:rsidP="003F5197"/>
        </w:tc>
      </w:tr>
      <w:tr w:rsidR="00B4610B" w14:paraId="7B9860E8" w14:textId="77777777" w:rsidTr="003F5197">
        <w:tc>
          <w:tcPr>
            <w:tcW w:w="1038" w:type="dxa"/>
          </w:tcPr>
          <w:p w14:paraId="3AD4D9EB" w14:textId="77777777" w:rsidR="00B4610B" w:rsidRDefault="00B4610B" w:rsidP="003F5197">
            <w:r>
              <w:t>Brazil</w:t>
            </w:r>
          </w:p>
        </w:tc>
        <w:tc>
          <w:tcPr>
            <w:tcW w:w="1039" w:type="dxa"/>
          </w:tcPr>
          <w:p w14:paraId="12B8E012" w14:textId="77777777" w:rsidR="00B4610B" w:rsidRDefault="00B4610B" w:rsidP="003F5197"/>
        </w:tc>
        <w:tc>
          <w:tcPr>
            <w:tcW w:w="1039" w:type="dxa"/>
          </w:tcPr>
          <w:p w14:paraId="5978C1E4" w14:textId="77777777" w:rsidR="00B4610B" w:rsidRDefault="00B4610B" w:rsidP="003F5197"/>
        </w:tc>
        <w:tc>
          <w:tcPr>
            <w:tcW w:w="1039" w:type="dxa"/>
          </w:tcPr>
          <w:p w14:paraId="08B3403E" w14:textId="77777777" w:rsidR="00B4610B" w:rsidRDefault="00B4610B" w:rsidP="003F5197">
            <w:r>
              <w:t>X</w:t>
            </w:r>
          </w:p>
        </w:tc>
        <w:tc>
          <w:tcPr>
            <w:tcW w:w="1039" w:type="dxa"/>
          </w:tcPr>
          <w:p w14:paraId="5FB43A07" w14:textId="77777777" w:rsidR="00B4610B" w:rsidRDefault="00B4610B" w:rsidP="003F5197"/>
        </w:tc>
        <w:tc>
          <w:tcPr>
            <w:tcW w:w="1039" w:type="dxa"/>
          </w:tcPr>
          <w:p w14:paraId="2022FE87" w14:textId="77777777" w:rsidR="00B4610B" w:rsidRDefault="00B4610B" w:rsidP="003F5197">
            <w:r>
              <w:t>X</w:t>
            </w:r>
          </w:p>
        </w:tc>
        <w:tc>
          <w:tcPr>
            <w:tcW w:w="1039" w:type="dxa"/>
          </w:tcPr>
          <w:p w14:paraId="798B4EAA" w14:textId="77777777" w:rsidR="00B4610B" w:rsidRDefault="00B4610B" w:rsidP="003F5197">
            <w:r>
              <w:t>X</w:t>
            </w:r>
          </w:p>
        </w:tc>
        <w:tc>
          <w:tcPr>
            <w:tcW w:w="1039" w:type="dxa"/>
          </w:tcPr>
          <w:p w14:paraId="7055D6DA" w14:textId="77777777" w:rsidR="00B4610B" w:rsidRDefault="00B4610B" w:rsidP="003F5197"/>
        </w:tc>
        <w:tc>
          <w:tcPr>
            <w:tcW w:w="1039" w:type="dxa"/>
          </w:tcPr>
          <w:p w14:paraId="28205638" w14:textId="77777777" w:rsidR="00B4610B" w:rsidRDefault="00B4610B" w:rsidP="003F5197"/>
        </w:tc>
      </w:tr>
      <w:tr w:rsidR="00B4610B" w14:paraId="14AE1FFA" w14:textId="77777777" w:rsidTr="003F5197">
        <w:tc>
          <w:tcPr>
            <w:tcW w:w="1038" w:type="dxa"/>
          </w:tcPr>
          <w:p w14:paraId="1FCA97D3" w14:textId="77777777" w:rsidR="00B4610B" w:rsidRDefault="00B4610B" w:rsidP="003F5197">
            <w:r>
              <w:t>S. Africa</w:t>
            </w:r>
          </w:p>
        </w:tc>
        <w:tc>
          <w:tcPr>
            <w:tcW w:w="1039" w:type="dxa"/>
          </w:tcPr>
          <w:p w14:paraId="3A2F30BA" w14:textId="77777777" w:rsidR="00B4610B" w:rsidRDefault="00B4610B" w:rsidP="003F5197"/>
        </w:tc>
        <w:tc>
          <w:tcPr>
            <w:tcW w:w="1039" w:type="dxa"/>
          </w:tcPr>
          <w:p w14:paraId="3F6D1674" w14:textId="77777777" w:rsidR="00B4610B" w:rsidRDefault="00B4610B" w:rsidP="003F5197"/>
        </w:tc>
        <w:tc>
          <w:tcPr>
            <w:tcW w:w="1039" w:type="dxa"/>
          </w:tcPr>
          <w:p w14:paraId="57033389" w14:textId="77777777" w:rsidR="00B4610B" w:rsidRDefault="00B4610B" w:rsidP="003F5197">
            <w:r>
              <w:t>X</w:t>
            </w:r>
          </w:p>
        </w:tc>
        <w:tc>
          <w:tcPr>
            <w:tcW w:w="1039" w:type="dxa"/>
          </w:tcPr>
          <w:p w14:paraId="30DCEEFB" w14:textId="77777777" w:rsidR="00B4610B" w:rsidRDefault="00B4610B" w:rsidP="003F5197"/>
        </w:tc>
        <w:tc>
          <w:tcPr>
            <w:tcW w:w="1039" w:type="dxa"/>
          </w:tcPr>
          <w:p w14:paraId="26C8CF5A" w14:textId="77777777" w:rsidR="00B4610B" w:rsidRDefault="00B4610B" w:rsidP="003F5197">
            <w:r>
              <w:t>X</w:t>
            </w:r>
          </w:p>
        </w:tc>
        <w:tc>
          <w:tcPr>
            <w:tcW w:w="1039" w:type="dxa"/>
          </w:tcPr>
          <w:p w14:paraId="00C78412" w14:textId="77777777" w:rsidR="00B4610B" w:rsidRDefault="00B4610B" w:rsidP="003F5197">
            <w:r>
              <w:t>X</w:t>
            </w:r>
          </w:p>
        </w:tc>
        <w:tc>
          <w:tcPr>
            <w:tcW w:w="1039" w:type="dxa"/>
          </w:tcPr>
          <w:p w14:paraId="012247E3" w14:textId="77777777" w:rsidR="00B4610B" w:rsidRDefault="00B4610B" w:rsidP="003F5197"/>
        </w:tc>
        <w:tc>
          <w:tcPr>
            <w:tcW w:w="1039" w:type="dxa"/>
          </w:tcPr>
          <w:p w14:paraId="1B2C7C6D" w14:textId="77777777" w:rsidR="00B4610B" w:rsidRDefault="00B4610B" w:rsidP="003F5197"/>
        </w:tc>
      </w:tr>
      <w:tr w:rsidR="00B4610B" w14:paraId="5AF3AF9B" w14:textId="77777777" w:rsidTr="003F5197">
        <w:tc>
          <w:tcPr>
            <w:tcW w:w="1038" w:type="dxa"/>
          </w:tcPr>
          <w:p w14:paraId="770D71C0" w14:textId="77777777" w:rsidR="00B4610B" w:rsidRDefault="00B4610B" w:rsidP="003F5197">
            <w:r>
              <w:t>Turkey</w:t>
            </w:r>
          </w:p>
        </w:tc>
        <w:tc>
          <w:tcPr>
            <w:tcW w:w="1039" w:type="dxa"/>
          </w:tcPr>
          <w:p w14:paraId="59D1D696" w14:textId="77777777" w:rsidR="00B4610B" w:rsidRDefault="00B4610B" w:rsidP="003F5197"/>
        </w:tc>
        <w:tc>
          <w:tcPr>
            <w:tcW w:w="1039" w:type="dxa"/>
          </w:tcPr>
          <w:p w14:paraId="62221613" w14:textId="77777777" w:rsidR="00B4610B" w:rsidRDefault="00B4610B" w:rsidP="003F5197"/>
        </w:tc>
        <w:tc>
          <w:tcPr>
            <w:tcW w:w="1039" w:type="dxa"/>
          </w:tcPr>
          <w:p w14:paraId="50B5D215" w14:textId="77777777" w:rsidR="00B4610B" w:rsidRDefault="00B4610B" w:rsidP="003F5197"/>
        </w:tc>
        <w:tc>
          <w:tcPr>
            <w:tcW w:w="1039" w:type="dxa"/>
          </w:tcPr>
          <w:p w14:paraId="6A496125" w14:textId="77777777" w:rsidR="00B4610B" w:rsidRDefault="00B4610B" w:rsidP="003F5197"/>
        </w:tc>
        <w:tc>
          <w:tcPr>
            <w:tcW w:w="1039" w:type="dxa"/>
          </w:tcPr>
          <w:p w14:paraId="1C20A967" w14:textId="77777777" w:rsidR="00B4610B" w:rsidRDefault="00B4610B" w:rsidP="003F5197">
            <w:r>
              <w:t>x</w:t>
            </w:r>
          </w:p>
        </w:tc>
        <w:tc>
          <w:tcPr>
            <w:tcW w:w="1039" w:type="dxa"/>
          </w:tcPr>
          <w:p w14:paraId="2C0F898B" w14:textId="77777777" w:rsidR="00B4610B" w:rsidRDefault="00B4610B" w:rsidP="003F5197"/>
        </w:tc>
        <w:tc>
          <w:tcPr>
            <w:tcW w:w="1039" w:type="dxa"/>
          </w:tcPr>
          <w:p w14:paraId="6B1C6B04" w14:textId="77777777" w:rsidR="00B4610B" w:rsidRDefault="00B4610B" w:rsidP="003F5197"/>
        </w:tc>
        <w:tc>
          <w:tcPr>
            <w:tcW w:w="1039" w:type="dxa"/>
          </w:tcPr>
          <w:p w14:paraId="3C426A45" w14:textId="77777777" w:rsidR="00B4610B" w:rsidRDefault="00B4610B" w:rsidP="003F5197"/>
        </w:tc>
      </w:tr>
      <w:tr w:rsidR="00B4610B" w14:paraId="525697B9" w14:textId="77777777" w:rsidTr="003F5197">
        <w:tc>
          <w:tcPr>
            <w:tcW w:w="1038" w:type="dxa"/>
          </w:tcPr>
          <w:p w14:paraId="51A4C5A5" w14:textId="77777777" w:rsidR="00B4610B" w:rsidRDefault="00B4610B" w:rsidP="003F5197">
            <w:r>
              <w:t>Russian Federation</w:t>
            </w:r>
          </w:p>
        </w:tc>
        <w:tc>
          <w:tcPr>
            <w:tcW w:w="1039" w:type="dxa"/>
          </w:tcPr>
          <w:p w14:paraId="393F19D7" w14:textId="77777777" w:rsidR="00B4610B" w:rsidRDefault="00B4610B" w:rsidP="003F5197"/>
        </w:tc>
        <w:tc>
          <w:tcPr>
            <w:tcW w:w="1039" w:type="dxa"/>
          </w:tcPr>
          <w:p w14:paraId="44CF3136" w14:textId="77777777" w:rsidR="00B4610B" w:rsidRDefault="00B4610B" w:rsidP="003F5197">
            <w:r>
              <w:t>X</w:t>
            </w:r>
          </w:p>
        </w:tc>
        <w:tc>
          <w:tcPr>
            <w:tcW w:w="1039" w:type="dxa"/>
          </w:tcPr>
          <w:p w14:paraId="5B9FB1DE" w14:textId="77777777" w:rsidR="00B4610B" w:rsidRDefault="00B4610B" w:rsidP="003F5197"/>
        </w:tc>
        <w:tc>
          <w:tcPr>
            <w:tcW w:w="1039" w:type="dxa"/>
          </w:tcPr>
          <w:p w14:paraId="187775E8" w14:textId="77777777" w:rsidR="00B4610B" w:rsidRDefault="00B4610B" w:rsidP="003F5197">
            <w:r>
              <w:t>X*</w:t>
            </w:r>
          </w:p>
        </w:tc>
        <w:tc>
          <w:tcPr>
            <w:tcW w:w="1039" w:type="dxa"/>
          </w:tcPr>
          <w:p w14:paraId="39F2FA1B" w14:textId="77777777" w:rsidR="00B4610B" w:rsidRDefault="00B4610B" w:rsidP="003F5197">
            <w:r>
              <w:t>X</w:t>
            </w:r>
          </w:p>
        </w:tc>
        <w:tc>
          <w:tcPr>
            <w:tcW w:w="1039" w:type="dxa"/>
          </w:tcPr>
          <w:p w14:paraId="3971B9D2" w14:textId="77777777" w:rsidR="00B4610B" w:rsidRDefault="00B4610B" w:rsidP="003F5197">
            <w:r>
              <w:t>x</w:t>
            </w:r>
          </w:p>
        </w:tc>
        <w:tc>
          <w:tcPr>
            <w:tcW w:w="1039" w:type="dxa"/>
          </w:tcPr>
          <w:p w14:paraId="5AF2893A" w14:textId="77777777" w:rsidR="00B4610B" w:rsidRDefault="00B4610B" w:rsidP="003F5197">
            <w:r>
              <w:t>X</w:t>
            </w:r>
          </w:p>
        </w:tc>
        <w:tc>
          <w:tcPr>
            <w:tcW w:w="1039" w:type="dxa"/>
          </w:tcPr>
          <w:p w14:paraId="25874B0A" w14:textId="77777777" w:rsidR="00B4610B" w:rsidRDefault="00B4610B" w:rsidP="003F5197">
            <w:r>
              <w:t>x</w:t>
            </w:r>
          </w:p>
        </w:tc>
      </w:tr>
      <w:tr w:rsidR="00B4610B" w14:paraId="53B94C7B" w14:textId="77777777" w:rsidTr="003F5197">
        <w:tc>
          <w:tcPr>
            <w:tcW w:w="1038" w:type="dxa"/>
          </w:tcPr>
          <w:p w14:paraId="5F076CEC" w14:textId="77777777" w:rsidR="00B4610B" w:rsidRDefault="00B4610B" w:rsidP="003F5197">
            <w:r>
              <w:t>Iran</w:t>
            </w:r>
          </w:p>
        </w:tc>
        <w:tc>
          <w:tcPr>
            <w:tcW w:w="1039" w:type="dxa"/>
          </w:tcPr>
          <w:p w14:paraId="3AEA75F9" w14:textId="77777777" w:rsidR="00B4610B" w:rsidRDefault="00B4610B" w:rsidP="003F5197"/>
        </w:tc>
        <w:tc>
          <w:tcPr>
            <w:tcW w:w="1039" w:type="dxa"/>
          </w:tcPr>
          <w:p w14:paraId="4FBC9BEF" w14:textId="77777777" w:rsidR="00B4610B" w:rsidRDefault="00B4610B" w:rsidP="003F5197"/>
        </w:tc>
        <w:tc>
          <w:tcPr>
            <w:tcW w:w="1039" w:type="dxa"/>
          </w:tcPr>
          <w:p w14:paraId="11B70ECC" w14:textId="77777777" w:rsidR="00B4610B" w:rsidRDefault="00B4610B" w:rsidP="003F5197"/>
        </w:tc>
        <w:tc>
          <w:tcPr>
            <w:tcW w:w="1039" w:type="dxa"/>
          </w:tcPr>
          <w:p w14:paraId="36BF5BF6" w14:textId="77777777" w:rsidR="00B4610B" w:rsidRDefault="00B4610B" w:rsidP="003F5197"/>
        </w:tc>
        <w:tc>
          <w:tcPr>
            <w:tcW w:w="1039" w:type="dxa"/>
          </w:tcPr>
          <w:p w14:paraId="6637BA84" w14:textId="77777777" w:rsidR="00B4610B" w:rsidRDefault="00B4610B" w:rsidP="003F5197"/>
        </w:tc>
        <w:tc>
          <w:tcPr>
            <w:tcW w:w="1039" w:type="dxa"/>
          </w:tcPr>
          <w:p w14:paraId="02FB451B" w14:textId="77777777" w:rsidR="00B4610B" w:rsidRDefault="00B4610B" w:rsidP="003F5197"/>
        </w:tc>
        <w:tc>
          <w:tcPr>
            <w:tcW w:w="1039" w:type="dxa"/>
          </w:tcPr>
          <w:p w14:paraId="7C96C68A" w14:textId="77777777" w:rsidR="00B4610B" w:rsidRDefault="00B4610B" w:rsidP="003F5197"/>
        </w:tc>
        <w:tc>
          <w:tcPr>
            <w:tcW w:w="1039" w:type="dxa"/>
          </w:tcPr>
          <w:p w14:paraId="3F4BA302" w14:textId="77777777" w:rsidR="00B4610B" w:rsidRDefault="00B4610B" w:rsidP="003F5197"/>
        </w:tc>
      </w:tr>
    </w:tbl>
    <w:p w14:paraId="06B7F2D6" w14:textId="296016E8" w:rsidR="00B4610B" w:rsidRDefault="00B4610B" w:rsidP="00B4610B">
      <w:r>
        <w:t>* The Russian Federation</w:t>
      </w:r>
      <w:r w:rsidR="00141266">
        <w:t>’s membership was suspended in 2014, and it withdrew from the G8 in 2017.</w:t>
      </w:r>
    </w:p>
    <w:p w14:paraId="07B3A7B9" w14:textId="7D7B2366" w:rsidR="00AC16D7" w:rsidRDefault="002B291D" w:rsidP="00B4610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first question we ask is whether a “rising” power has already </w:t>
      </w:r>
      <w:r w:rsidR="005564C1">
        <w:rPr>
          <w:rFonts w:ascii="Times New Roman" w:hAnsi="Times New Roman" w:cs="Times New Roman"/>
          <w:sz w:val="24"/>
          <w:szCs w:val="24"/>
        </w:rPr>
        <w:t>arrived by making</w:t>
      </w:r>
      <w:r>
        <w:rPr>
          <w:rFonts w:ascii="Times New Roman" w:hAnsi="Times New Roman" w:cs="Times New Roman"/>
          <w:sz w:val="24"/>
          <w:szCs w:val="24"/>
        </w:rPr>
        <w:t xml:space="preserve"> it into </w:t>
      </w:r>
      <w:r w:rsidR="002C166A">
        <w:rPr>
          <w:rFonts w:ascii="Times New Roman" w:hAnsi="Times New Roman" w:cs="Times New Roman"/>
          <w:sz w:val="24"/>
          <w:szCs w:val="24"/>
        </w:rPr>
        <w:t xml:space="preserve">one or more </w:t>
      </w:r>
      <w:r>
        <w:rPr>
          <w:rFonts w:ascii="Times New Roman" w:hAnsi="Times New Roman" w:cs="Times New Roman"/>
          <w:sz w:val="24"/>
          <w:szCs w:val="24"/>
        </w:rPr>
        <w:t xml:space="preserve">highly salient status clubs. Of the </w:t>
      </w:r>
      <w:r w:rsidR="007F4E0B">
        <w:rPr>
          <w:rFonts w:ascii="Times New Roman" w:hAnsi="Times New Roman" w:cs="Times New Roman"/>
          <w:sz w:val="24"/>
          <w:szCs w:val="24"/>
        </w:rPr>
        <w:t>clubs</w:t>
      </w:r>
      <w:r>
        <w:rPr>
          <w:rFonts w:ascii="Times New Roman" w:hAnsi="Times New Roman" w:cs="Times New Roman"/>
          <w:sz w:val="24"/>
          <w:szCs w:val="24"/>
        </w:rPr>
        <w:t xml:space="preserve"> identified in Figure 1, we suggest that the three most important ones are the clubs labeled “superpowers”, “major powers”, and “regional powers”. The first grouping is obvious: there are few if any states that are likely to receive membership into the superpower club. </w:t>
      </w:r>
      <w:r w:rsidR="00B4610B">
        <w:rPr>
          <w:rFonts w:ascii="Times New Roman" w:hAnsi="Times New Roman" w:cs="Times New Roman"/>
          <w:sz w:val="24"/>
          <w:szCs w:val="24"/>
        </w:rPr>
        <w:t xml:space="preserve">Superpowers </w:t>
      </w:r>
      <w:r>
        <w:rPr>
          <w:rFonts w:ascii="Times New Roman" w:hAnsi="Times New Roman" w:cs="Times New Roman"/>
          <w:sz w:val="24"/>
          <w:szCs w:val="24"/>
        </w:rPr>
        <w:t xml:space="preserve">receive the highest status available to states. </w:t>
      </w:r>
    </w:p>
    <w:p w14:paraId="2A04CD22" w14:textId="32C5BD4F" w:rsidR="00AC16D7" w:rsidRDefault="002B291D" w:rsidP="00AC16D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Major </w:t>
      </w:r>
      <w:r w:rsidR="00D92336">
        <w:rPr>
          <w:rFonts w:ascii="Times New Roman" w:hAnsi="Times New Roman" w:cs="Times New Roman"/>
          <w:sz w:val="24"/>
          <w:szCs w:val="24"/>
        </w:rPr>
        <w:t xml:space="preserve">powers </w:t>
      </w:r>
      <w:r w:rsidR="00AC16D7">
        <w:rPr>
          <w:rFonts w:ascii="Times New Roman" w:hAnsi="Times New Roman" w:cs="Times New Roman"/>
          <w:sz w:val="24"/>
          <w:szCs w:val="24"/>
        </w:rPr>
        <w:t>(also referred to as global</w:t>
      </w:r>
      <w:r w:rsidR="00D92336">
        <w:rPr>
          <w:rFonts w:ascii="Times New Roman" w:hAnsi="Times New Roman" w:cs="Times New Roman"/>
          <w:sz w:val="24"/>
          <w:szCs w:val="24"/>
        </w:rPr>
        <w:t xml:space="preserve"> powers</w:t>
      </w:r>
      <w:r w:rsidR="00AC16D7">
        <w:rPr>
          <w:rFonts w:ascii="Times New Roman" w:hAnsi="Times New Roman" w:cs="Times New Roman"/>
          <w:sz w:val="24"/>
          <w:szCs w:val="24"/>
        </w:rPr>
        <w:t xml:space="preserve">) </w:t>
      </w:r>
      <w:r>
        <w:rPr>
          <w:rFonts w:ascii="Times New Roman" w:hAnsi="Times New Roman" w:cs="Times New Roman"/>
          <w:sz w:val="24"/>
          <w:szCs w:val="24"/>
        </w:rPr>
        <w:t xml:space="preserve">constitute an elite grouping of states that also generate </w:t>
      </w:r>
      <w:r w:rsidR="00AC16D7">
        <w:rPr>
          <w:rFonts w:ascii="Times New Roman" w:hAnsi="Times New Roman" w:cs="Times New Roman"/>
          <w:sz w:val="24"/>
          <w:szCs w:val="24"/>
        </w:rPr>
        <w:t xml:space="preserve">high </w:t>
      </w:r>
      <w:r>
        <w:rPr>
          <w:rFonts w:ascii="Times New Roman" w:hAnsi="Times New Roman" w:cs="Times New Roman"/>
          <w:sz w:val="24"/>
          <w:szCs w:val="24"/>
        </w:rPr>
        <w:t xml:space="preserve">status, and while more inclusive than the first, </w:t>
      </w:r>
      <w:r w:rsidR="00B4610B">
        <w:rPr>
          <w:rFonts w:ascii="Times New Roman" w:hAnsi="Times New Roman" w:cs="Times New Roman"/>
          <w:sz w:val="24"/>
          <w:szCs w:val="24"/>
        </w:rPr>
        <w:t>group membership is</w:t>
      </w:r>
      <w:r>
        <w:rPr>
          <w:rFonts w:ascii="Times New Roman" w:hAnsi="Times New Roman" w:cs="Times New Roman"/>
          <w:sz w:val="24"/>
          <w:szCs w:val="24"/>
        </w:rPr>
        <w:t xml:space="preserve"> restricted to a small handful of states. During the Cold War no more than four states qualified for this status, and no more than six to seven states during the post-Cold War era (see Volgy et al., 2011). </w:t>
      </w:r>
    </w:p>
    <w:p w14:paraId="619AF820" w14:textId="7809F204" w:rsidR="00066543" w:rsidRDefault="002B291D" w:rsidP="00AC16D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Finally, the regional power club, while generating less status than either of the other two, has also been quite restrictive; a recent attempt to </w:t>
      </w:r>
      <w:r w:rsidR="00AC16D7">
        <w:rPr>
          <w:rFonts w:ascii="Times New Roman" w:hAnsi="Times New Roman" w:cs="Times New Roman"/>
          <w:sz w:val="24"/>
          <w:szCs w:val="24"/>
        </w:rPr>
        <w:t xml:space="preserve">identify </w:t>
      </w:r>
      <w:r>
        <w:rPr>
          <w:rFonts w:ascii="Times New Roman" w:hAnsi="Times New Roman" w:cs="Times New Roman"/>
          <w:sz w:val="24"/>
          <w:szCs w:val="24"/>
        </w:rPr>
        <w:t>empirically regional powers (</w:t>
      </w:r>
      <w:r w:rsidR="00DB4279">
        <w:rPr>
          <w:rFonts w:ascii="Times New Roman" w:hAnsi="Times New Roman" w:cs="Times New Roman"/>
          <w:sz w:val="24"/>
          <w:szCs w:val="24"/>
        </w:rPr>
        <w:t>Cline</w:t>
      </w:r>
      <w:r>
        <w:rPr>
          <w:rFonts w:ascii="Times New Roman" w:hAnsi="Times New Roman" w:cs="Times New Roman"/>
          <w:sz w:val="24"/>
          <w:szCs w:val="24"/>
        </w:rPr>
        <w:t xml:space="preserve"> et al. 201</w:t>
      </w:r>
      <w:r w:rsidR="002C166A">
        <w:rPr>
          <w:rFonts w:ascii="Times New Roman" w:hAnsi="Times New Roman" w:cs="Times New Roman"/>
          <w:sz w:val="24"/>
          <w:szCs w:val="24"/>
        </w:rPr>
        <w:t>1</w:t>
      </w:r>
      <w:r>
        <w:rPr>
          <w:rFonts w:ascii="Times New Roman" w:hAnsi="Times New Roman" w:cs="Times New Roman"/>
          <w:sz w:val="24"/>
          <w:szCs w:val="24"/>
        </w:rPr>
        <w:t xml:space="preserve">) lists no more than a handful of states achieving club membership. Regional power status is </w:t>
      </w:r>
      <w:r w:rsidR="00AC16D7">
        <w:rPr>
          <w:rFonts w:ascii="Times New Roman" w:hAnsi="Times New Roman" w:cs="Times New Roman"/>
          <w:sz w:val="24"/>
          <w:szCs w:val="24"/>
        </w:rPr>
        <w:t xml:space="preserve">high </w:t>
      </w:r>
      <w:r>
        <w:rPr>
          <w:rFonts w:ascii="Times New Roman" w:hAnsi="Times New Roman" w:cs="Times New Roman"/>
          <w:sz w:val="24"/>
          <w:szCs w:val="24"/>
        </w:rPr>
        <w:t>status</w:t>
      </w:r>
      <w:r w:rsidR="00542327">
        <w:rPr>
          <w:rFonts w:ascii="Times New Roman" w:hAnsi="Times New Roman" w:cs="Times New Roman"/>
          <w:sz w:val="24"/>
          <w:szCs w:val="24"/>
        </w:rPr>
        <w:t>-</w:t>
      </w:r>
      <w:r>
        <w:rPr>
          <w:rFonts w:ascii="Times New Roman" w:hAnsi="Times New Roman" w:cs="Times New Roman"/>
          <w:sz w:val="24"/>
          <w:szCs w:val="24"/>
        </w:rPr>
        <w:t>generating because states identified as regional powers not only dominate politics in their own region</w:t>
      </w:r>
      <w:r w:rsidR="007F4E0B">
        <w:rPr>
          <w:rFonts w:ascii="Times New Roman" w:hAnsi="Times New Roman" w:cs="Times New Roman"/>
          <w:sz w:val="24"/>
          <w:szCs w:val="24"/>
        </w:rPr>
        <w:t xml:space="preserve"> e.g. </w:t>
      </w:r>
      <w:proofErr w:type="spellStart"/>
      <w:r w:rsidR="007F4E0B">
        <w:rPr>
          <w:rFonts w:ascii="Times New Roman" w:hAnsi="Times New Roman" w:cs="Times New Roman"/>
          <w:sz w:val="24"/>
          <w:szCs w:val="24"/>
        </w:rPr>
        <w:t>Desrati</w:t>
      </w:r>
      <w:proofErr w:type="spellEnd"/>
      <w:r w:rsidR="007F4E0B">
        <w:rPr>
          <w:rFonts w:ascii="Times New Roman" w:hAnsi="Times New Roman" w:cs="Times New Roman"/>
          <w:sz w:val="24"/>
          <w:szCs w:val="24"/>
        </w:rPr>
        <w:t xml:space="preserve"> et al. 2018)</w:t>
      </w:r>
      <w:r>
        <w:rPr>
          <w:rFonts w:ascii="Times New Roman" w:hAnsi="Times New Roman" w:cs="Times New Roman"/>
          <w:sz w:val="24"/>
          <w:szCs w:val="24"/>
        </w:rPr>
        <w:t>, but typically</w:t>
      </w:r>
      <w:r w:rsidR="007F4E0B">
        <w:rPr>
          <w:rFonts w:ascii="Times New Roman" w:hAnsi="Times New Roman" w:cs="Times New Roman"/>
          <w:sz w:val="24"/>
          <w:szCs w:val="24"/>
        </w:rPr>
        <w:t>,</w:t>
      </w:r>
      <w:r>
        <w:rPr>
          <w:rFonts w:ascii="Times New Roman" w:hAnsi="Times New Roman" w:cs="Times New Roman"/>
          <w:sz w:val="24"/>
          <w:szCs w:val="24"/>
        </w:rPr>
        <w:t xml:space="preserve"> these states have also </w:t>
      </w:r>
      <w:r>
        <w:rPr>
          <w:rFonts w:ascii="Times New Roman" w:hAnsi="Times New Roman" w:cs="Times New Roman"/>
          <w:sz w:val="24"/>
          <w:szCs w:val="24"/>
        </w:rPr>
        <w:lastRenderedPageBreak/>
        <w:t xml:space="preserve">expressed interest in moving into the major power club and most major powers have achieved their status by moving </w:t>
      </w:r>
      <w:r w:rsidR="00D31608">
        <w:rPr>
          <w:rFonts w:ascii="Times New Roman" w:hAnsi="Times New Roman" w:cs="Times New Roman"/>
          <w:sz w:val="24"/>
          <w:szCs w:val="24"/>
        </w:rPr>
        <w:t xml:space="preserve">up </w:t>
      </w:r>
      <w:r>
        <w:rPr>
          <w:rFonts w:ascii="Times New Roman" w:hAnsi="Times New Roman" w:cs="Times New Roman"/>
          <w:sz w:val="24"/>
          <w:szCs w:val="24"/>
        </w:rPr>
        <w:t>from the regional power club</w:t>
      </w:r>
      <w:r w:rsidR="00461E93">
        <w:rPr>
          <w:rFonts w:ascii="Times New Roman" w:hAnsi="Times New Roman" w:cs="Times New Roman"/>
          <w:sz w:val="24"/>
          <w:szCs w:val="24"/>
        </w:rPr>
        <w:t xml:space="preserve"> </w:t>
      </w:r>
      <w:r>
        <w:rPr>
          <w:rFonts w:ascii="Times New Roman" w:hAnsi="Times New Roman" w:cs="Times New Roman"/>
          <w:sz w:val="24"/>
          <w:szCs w:val="24"/>
        </w:rPr>
        <w:t>.</w:t>
      </w:r>
      <w:r w:rsidR="00474CE5">
        <w:rPr>
          <w:rFonts w:ascii="Times New Roman" w:hAnsi="Times New Roman" w:cs="Times New Roman"/>
          <w:sz w:val="24"/>
          <w:szCs w:val="24"/>
        </w:rPr>
        <w:t xml:space="preserve"> </w:t>
      </w:r>
      <w:r w:rsidR="00066543">
        <w:rPr>
          <w:rFonts w:ascii="Times New Roman" w:hAnsi="Times New Roman" w:cs="Times New Roman"/>
          <w:sz w:val="24"/>
          <w:szCs w:val="24"/>
        </w:rPr>
        <w:t xml:space="preserve"> </w:t>
      </w:r>
    </w:p>
    <w:p w14:paraId="419D7822" w14:textId="442384F9" w:rsidR="0043132C" w:rsidRDefault="00542327" w:rsidP="00542327">
      <w:pPr>
        <w:spacing w:line="480" w:lineRule="auto"/>
        <w:rPr>
          <w:rFonts w:ascii="Times New Roman" w:hAnsi="Times New Roman" w:cs="Times New Roman"/>
          <w:sz w:val="24"/>
          <w:szCs w:val="24"/>
        </w:rPr>
      </w:pPr>
      <w:r>
        <w:rPr>
          <w:rFonts w:ascii="Times New Roman" w:hAnsi="Times New Roman" w:cs="Times New Roman"/>
          <w:sz w:val="24"/>
          <w:szCs w:val="24"/>
        </w:rPr>
        <w:tab/>
        <w:t>We contend that</w:t>
      </w:r>
      <w:r w:rsidR="00D31608">
        <w:rPr>
          <w:rFonts w:ascii="Times New Roman" w:hAnsi="Times New Roman" w:cs="Times New Roman"/>
          <w:sz w:val="24"/>
          <w:szCs w:val="24"/>
        </w:rPr>
        <w:t xml:space="preserve">—in the context of status club memberships—the so-called </w:t>
      </w:r>
      <w:r>
        <w:rPr>
          <w:rFonts w:ascii="Times New Roman" w:hAnsi="Times New Roman" w:cs="Times New Roman"/>
          <w:sz w:val="24"/>
          <w:szCs w:val="24"/>
        </w:rPr>
        <w:t>rising powers</w:t>
      </w:r>
      <w:r w:rsidR="00B4610B">
        <w:rPr>
          <w:rFonts w:ascii="Times New Roman" w:hAnsi="Times New Roman" w:cs="Times New Roman"/>
          <w:sz w:val="24"/>
          <w:szCs w:val="24"/>
        </w:rPr>
        <w:t xml:space="preserve"> that are the subject of this project</w:t>
      </w:r>
      <w:r>
        <w:rPr>
          <w:rFonts w:ascii="Times New Roman" w:hAnsi="Times New Roman" w:cs="Times New Roman"/>
          <w:sz w:val="24"/>
          <w:szCs w:val="24"/>
        </w:rPr>
        <w:t xml:space="preserve"> differ substantially from each other in the sense that some are perhaps “rising” while others have already made it into one of the high status clubs</w:t>
      </w:r>
      <w:r w:rsidR="00B4610B">
        <w:rPr>
          <w:rFonts w:ascii="Times New Roman" w:hAnsi="Times New Roman" w:cs="Times New Roman"/>
          <w:sz w:val="24"/>
          <w:szCs w:val="24"/>
        </w:rPr>
        <w:t>, and others still are declining</w:t>
      </w:r>
      <w:r>
        <w:rPr>
          <w:rFonts w:ascii="Times New Roman" w:hAnsi="Times New Roman" w:cs="Times New Roman"/>
          <w:sz w:val="24"/>
          <w:szCs w:val="24"/>
        </w:rPr>
        <w:t xml:space="preserve">. However, making this argument requires establishing a </w:t>
      </w:r>
      <w:r w:rsidRPr="0043132C">
        <w:rPr>
          <w:rFonts w:ascii="Times New Roman" w:hAnsi="Times New Roman" w:cs="Times New Roman"/>
          <w:i/>
          <w:sz w:val="24"/>
          <w:szCs w:val="24"/>
        </w:rPr>
        <w:t>threshold</w:t>
      </w:r>
      <w:r>
        <w:rPr>
          <w:rFonts w:ascii="Times New Roman" w:hAnsi="Times New Roman" w:cs="Times New Roman"/>
          <w:sz w:val="24"/>
          <w:szCs w:val="24"/>
        </w:rPr>
        <w:t xml:space="preserve"> above which membership </w:t>
      </w:r>
      <w:r w:rsidR="004E7ADC">
        <w:rPr>
          <w:rFonts w:ascii="Times New Roman" w:hAnsi="Times New Roman" w:cs="Times New Roman"/>
          <w:sz w:val="24"/>
          <w:szCs w:val="24"/>
        </w:rPr>
        <w:t xml:space="preserve">is conferred in the status club. </w:t>
      </w:r>
      <w:r>
        <w:rPr>
          <w:rFonts w:ascii="Times New Roman" w:hAnsi="Times New Roman" w:cs="Times New Roman"/>
          <w:sz w:val="24"/>
          <w:szCs w:val="24"/>
        </w:rPr>
        <w:t xml:space="preserve">We use the thresholds established in earlier efforts. </w:t>
      </w:r>
      <w:r w:rsidR="0043132C">
        <w:rPr>
          <w:rFonts w:ascii="Times New Roman" w:hAnsi="Times New Roman" w:cs="Times New Roman"/>
          <w:sz w:val="24"/>
          <w:szCs w:val="24"/>
        </w:rPr>
        <w:t xml:space="preserve">Building on Levy (1983), </w:t>
      </w:r>
      <w:r>
        <w:rPr>
          <w:rFonts w:ascii="Times New Roman" w:hAnsi="Times New Roman" w:cs="Times New Roman"/>
          <w:sz w:val="24"/>
          <w:szCs w:val="24"/>
        </w:rPr>
        <w:t>Volgy et al. (2011) identify criteria for major power club membership</w:t>
      </w:r>
      <w:r w:rsidR="0043132C">
        <w:rPr>
          <w:rFonts w:ascii="Times New Roman" w:hAnsi="Times New Roman" w:cs="Times New Roman"/>
          <w:sz w:val="24"/>
          <w:szCs w:val="24"/>
        </w:rPr>
        <w:t>, based on three dimensions</w:t>
      </w:r>
      <w:r>
        <w:rPr>
          <w:rFonts w:ascii="Times New Roman" w:hAnsi="Times New Roman" w:cs="Times New Roman"/>
          <w:sz w:val="24"/>
          <w:szCs w:val="24"/>
        </w:rPr>
        <w:t xml:space="preserve">: </w:t>
      </w:r>
      <w:r w:rsidR="0043132C">
        <w:rPr>
          <w:rFonts w:ascii="Times New Roman" w:hAnsi="Times New Roman" w:cs="Times New Roman"/>
          <w:sz w:val="24"/>
          <w:szCs w:val="24"/>
        </w:rPr>
        <w:t>opportunity, willingness, and status attribution by the community of states. Thus, major powers belong to that status club if:</w:t>
      </w:r>
    </w:p>
    <w:p w14:paraId="16061910" w14:textId="3B6607C7" w:rsidR="0043132C" w:rsidRDefault="0043132C" w:rsidP="0043132C">
      <w:pPr>
        <w:pStyle w:val="ListParagraph"/>
        <w:numPr>
          <w:ilvl w:val="0"/>
          <w:numId w:val="2"/>
        </w:numPr>
        <w:spacing w:line="360" w:lineRule="auto"/>
        <w:rPr>
          <w:sz w:val="24"/>
        </w:rPr>
      </w:pPr>
      <w:r>
        <w:rPr>
          <w:sz w:val="24"/>
        </w:rPr>
        <w:t>They have unusual amounts of military and economic capabilities that would allow for them to play global roles;</w:t>
      </w:r>
    </w:p>
    <w:p w14:paraId="03779236" w14:textId="77777777" w:rsidR="0043132C" w:rsidRDefault="0043132C" w:rsidP="0043132C">
      <w:pPr>
        <w:pStyle w:val="ListParagraph"/>
        <w:numPr>
          <w:ilvl w:val="0"/>
          <w:numId w:val="2"/>
        </w:numPr>
        <w:spacing w:line="360" w:lineRule="auto"/>
        <w:rPr>
          <w:sz w:val="24"/>
        </w:rPr>
      </w:pPr>
      <w:r>
        <w:rPr>
          <w:sz w:val="24"/>
        </w:rPr>
        <w:t>They are able to use those capabilities to reach beyond their geographical regions;</w:t>
      </w:r>
    </w:p>
    <w:p w14:paraId="59F5B22A" w14:textId="77777777" w:rsidR="0043132C" w:rsidRDefault="0043132C" w:rsidP="0043132C">
      <w:pPr>
        <w:pStyle w:val="ListParagraph"/>
        <w:numPr>
          <w:ilvl w:val="0"/>
          <w:numId w:val="2"/>
        </w:numPr>
        <w:spacing w:line="360" w:lineRule="auto"/>
        <w:rPr>
          <w:sz w:val="24"/>
        </w:rPr>
      </w:pPr>
      <w:r>
        <w:rPr>
          <w:sz w:val="24"/>
        </w:rPr>
        <w:t>They engage in foreign policies that are global (or inter-regional) rather than regional in scope; and</w:t>
      </w:r>
    </w:p>
    <w:p w14:paraId="330EA316" w14:textId="77777777" w:rsidR="0043132C" w:rsidRDefault="0043132C" w:rsidP="0043132C">
      <w:pPr>
        <w:pStyle w:val="ListParagraph"/>
        <w:numPr>
          <w:ilvl w:val="0"/>
          <w:numId w:val="2"/>
        </w:numPr>
        <w:spacing w:line="360" w:lineRule="auto"/>
        <w:rPr>
          <w:sz w:val="24"/>
        </w:rPr>
      </w:pPr>
      <w:r>
        <w:rPr>
          <w:sz w:val="24"/>
        </w:rPr>
        <w:t>They are rewarded with high status by the community of states.</w:t>
      </w:r>
    </w:p>
    <w:p w14:paraId="4FD7E963" w14:textId="77777777" w:rsidR="005861CD" w:rsidRDefault="005861CD" w:rsidP="0043132C">
      <w:pPr>
        <w:spacing w:line="480" w:lineRule="auto"/>
        <w:ind w:firstLine="360"/>
        <w:rPr>
          <w:rFonts w:ascii="Times New Roman" w:hAnsi="Times New Roman" w:cs="Times New Roman"/>
          <w:sz w:val="24"/>
        </w:rPr>
      </w:pPr>
    </w:p>
    <w:p w14:paraId="094146DB" w14:textId="5618FB96" w:rsidR="0043132C" w:rsidRDefault="0043132C" w:rsidP="0043132C">
      <w:pPr>
        <w:spacing w:line="480" w:lineRule="auto"/>
        <w:ind w:firstLine="360"/>
        <w:rPr>
          <w:rFonts w:ascii="Times New Roman" w:hAnsi="Times New Roman" w:cs="Times New Roman"/>
          <w:sz w:val="24"/>
        </w:rPr>
      </w:pPr>
      <w:r w:rsidRPr="0043132C">
        <w:rPr>
          <w:rFonts w:ascii="Times New Roman" w:hAnsi="Times New Roman" w:cs="Times New Roman"/>
          <w:sz w:val="24"/>
        </w:rPr>
        <w:t>Using these criteria,</w:t>
      </w:r>
      <w:r w:rsidR="00DA4127">
        <w:rPr>
          <w:rStyle w:val="FootnoteReference"/>
          <w:rFonts w:ascii="Times New Roman" w:hAnsi="Times New Roman" w:cs="Times New Roman"/>
          <w:sz w:val="24"/>
        </w:rPr>
        <w:footnoteReference w:id="3"/>
      </w:r>
      <w:r w:rsidRPr="0043132C">
        <w:rPr>
          <w:rFonts w:ascii="Times New Roman" w:hAnsi="Times New Roman" w:cs="Times New Roman"/>
          <w:sz w:val="24"/>
        </w:rPr>
        <w:t xml:space="preserve"> we identify the Russian Federation and China as members of the major power club in post-Cold War international politics.  In th</w:t>
      </w:r>
      <w:r w:rsidR="005C6170">
        <w:rPr>
          <w:rFonts w:ascii="Times New Roman" w:hAnsi="Times New Roman" w:cs="Times New Roman"/>
          <w:sz w:val="24"/>
        </w:rPr>
        <w:t>e sense of attaining club membership,</w:t>
      </w:r>
      <w:r w:rsidRPr="0043132C">
        <w:rPr>
          <w:rFonts w:ascii="Times New Roman" w:hAnsi="Times New Roman" w:cs="Times New Roman"/>
          <w:sz w:val="24"/>
        </w:rPr>
        <w:t xml:space="preserve"> neither of those two states </w:t>
      </w:r>
      <w:r w:rsidR="004E7ADC">
        <w:rPr>
          <w:rFonts w:ascii="Times New Roman" w:hAnsi="Times New Roman" w:cs="Times New Roman"/>
          <w:sz w:val="24"/>
        </w:rPr>
        <w:t xml:space="preserve">should be </w:t>
      </w:r>
      <w:r w:rsidRPr="0043132C">
        <w:rPr>
          <w:rFonts w:ascii="Times New Roman" w:hAnsi="Times New Roman" w:cs="Times New Roman"/>
          <w:sz w:val="24"/>
        </w:rPr>
        <w:t xml:space="preserve">considered “rising” powers: </w:t>
      </w:r>
      <w:r w:rsidR="00AE72BE">
        <w:rPr>
          <w:rFonts w:ascii="Times New Roman" w:hAnsi="Times New Roman" w:cs="Times New Roman"/>
          <w:sz w:val="24"/>
        </w:rPr>
        <w:t xml:space="preserve">China has arrived, and Russia, </w:t>
      </w:r>
      <w:r w:rsidR="00AE72BE">
        <w:rPr>
          <w:rFonts w:ascii="Times New Roman" w:hAnsi="Times New Roman" w:cs="Times New Roman"/>
          <w:sz w:val="24"/>
        </w:rPr>
        <w:lastRenderedPageBreak/>
        <w:t>while its status has declined</w:t>
      </w:r>
      <w:r w:rsidR="00D31608">
        <w:rPr>
          <w:rFonts w:ascii="Times New Roman" w:hAnsi="Times New Roman" w:cs="Times New Roman"/>
          <w:sz w:val="24"/>
        </w:rPr>
        <w:t xml:space="preserve"> (and it lost its membership in the superpower club)</w:t>
      </w:r>
      <w:r w:rsidR="00AE72BE">
        <w:rPr>
          <w:rFonts w:ascii="Times New Roman" w:hAnsi="Times New Roman" w:cs="Times New Roman"/>
          <w:sz w:val="24"/>
        </w:rPr>
        <w:t xml:space="preserve">, </w:t>
      </w:r>
      <w:r w:rsidR="00D31608">
        <w:rPr>
          <w:rFonts w:ascii="Times New Roman" w:hAnsi="Times New Roman" w:cs="Times New Roman"/>
          <w:sz w:val="24"/>
        </w:rPr>
        <w:t>has managed to maintain its membership in the club of major powers.</w:t>
      </w:r>
    </w:p>
    <w:p w14:paraId="00A10E9A" w14:textId="36C2D1DD" w:rsidR="00696852" w:rsidRDefault="0043132C" w:rsidP="0043132C">
      <w:pPr>
        <w:spacing w:line="480" w:lineRule="auto"/>
        <w:ind w:firstLine="360"/>
        <w:rPr>
          <w:rFonts w:ascii="Times New Roman" w:hAnsi="Times New Roman" w:cs="Times New Roman"/>
          <w:sz w:val="24"/>
        </w:rPr>
      </w:pPr>
      <w:r>
        <w:rPr>
          <w:rFonts w:ascii="Times New Roman" w:hAnsi="Times New Roman" w:cs="Times New Roman"/>
          <w:sz w:val="24"/>
        </w:rPr>
        <w:tab/>
        <w:t xml:space="preserve">A similar approach is utilized by Cline et al. (2011) to create a threshold for determining membership in the regional power club, although </w:t>
      </w:r>
      <w:r w:rsidR="00696852">
        <w:rPr>
          <w:rFonts w:ascii="Times New Roman" w:hAnsi="Times New Roman" w:cs="Times New Roman"/>
          <w:sz w:val="24"/>
        </w:rPr>
        <w:t>dominant capabilities and reach are measured in the context of the region rather than globally. Using the</w:t>
      </w:r>
      <w:r w:rsidR="00AE72BE">
        <w:rPr>
          <w:rFonts w:ascii="Times New Roman" w:hAnsi="Times New Roman" w:cs="Times New Roman"/>
          <w:sz w:val="24"/>
        </w:rPr>
        <w:t xml:space="preserve"> Cline et al.</w:t>
      </w:r>
      <w:r w:rsidR="00D31608">
        <w:rPr>
          <w:rFonts w:ascii="Times New Roman" w:hAnsi="Times New Roman" w:cs="Times New Roman"/>
          <w:sz w:val="24"/>
        </w:rPr>
        <w:t>’s</w:t>
      </w:r>
      <w:r w:rsidR="00AE72BE">
        <w:rPr>
          <w:rFonts w:ascii="Times New Roman" w:hAnsi="Times New Roman" w:cs="Times New Roman"/>
          <w:sz w:val="24"/>
        </w:rPr>
        <w:t xml:space="preserve"> </w:t>
      </w:r>
      <w:r w:rsidR="00696852">
        <w:rPr>
          <w:rFonts w:ascii="Times New Roman" w:hAnsi="Times New Roman" w:cs="Times New Roman"/>
          <w:sz w:val="24"/>
        </w:rPr>
        <w:t xml:space="preserve">empirical threshold, India, Brazil, and South Africa are all regional powers and are recognized and rewarded with substantial status </w:t>
      </w:r>
      <w:r w:rsidR="00DA4127">
        <w:rPr>
          <w:rFonts w:ascii="Times New Roman" w:hAnsi="Times New Roman" w:cs="Times New Roman"/>
          <w:sz w:val="24"/>
        </w:rPr>
        <w:t>within</w:t>
      </w:r>
      <w:r w:rsidR="00696852">
        <w:rPr>
          <w:rFonts w:ascii="Times New Roman" w:hAnsi="Times New Roman" w:cs="Times New Roman"/>
          <w:sz w:val="24"/>
        </w:rPr>
        <w:t xml:space="preserve"> their own regions and </w:t>
      </w:r>
      <w:r w:rsidR="00DA4127">
        <w:rPr>
          <w:rFonts w:ascii="Times New Roman" w:hAnsi="Times New Roman" w:cs="Times New Roman"/>
          <w:sz w:val="24"/>
        </w:rPr>
        <w:t xml:space="preserve">by the larger </w:t>
      </w:r>
      <w:r w:rsidR="00696852">
        <w:rPr>
          <w:rFonts w:ascii="Times New Roman" w:hAnsi="Times New Roman" w:cs="Times New Roman"/>
          <w:sz w:val="24"/>
        </w:rPr>
        <w:t>community of states.</w:t>
      </w:r>
    </w:p>
    <w:p w14:paraId="7416359A" w14:textId="50F479F3" w:rsidR="00696852" w:rsidRDefault="00F30063" w:rsidP="0043132C">
      <w:pPr>
        <w:spacing w:line="480" w:lineRule="auto"/>
        <w:ind w:firstLine="360"/>
        <w:rPr>
          <w:rFonts w:ascii="Times New Roman" w:hAnsi="Times New Roman" w:cs="Times New Roman"/>
          <w:sz w:val="24"/>
        </w:rPr>
      </w:pPr>
      <w:r>
        <w:rPr>
          <w:rFonts w:ascii="Times New Roman" w:hAnsi="Times New Roman" w:cs="Times New Roman"/>
          <w:sz w:val="24"/>
        </w:rPr>
        <w:tab/>
        <w:t>So</w:t>
      </w:r>
      <w:r w:rsidR="00696852">
        <w:rPr>
          <w:rFonts w:ascii="Times New Roman" w:hAnsi="Times New Roman" w:cs="Times New Roman"/>
          <w:sz w:val="24"/>
        </w:rPr>
        <w:t xml:space="preserve"> at least using the</w:t>
      </w:r>
      <w:r w:rsidR="00D31608">
        <w:rPr>
          <w:rFonts w:ascii="Times New Roman" w:hAnsi="Times New Roman" w:cs="Times New Roman"/>
          <w:sz w:val="24"/>
        </w:rPr>
        <w:t xml:space="preserve"> criterion of club membership,</w:t>
      </w:r>
      <w:r w:rsidR="00696852">
        <w:rPr>
          <w:rFonts w:ascii="Times New Roman" w:hAnsi="Times New Roman" w:cs="Times New Roman"/>
          <w:sz w:val="24"/>
        </w:rPr>
        <w:t xml:space="preserve"> of the “rising states” considered in this project, our approach suggests that five of the seven have already arrived, either into the regional or the major power club. Neither of the remaining two (Turkey and Iran) share that distinction.</w:t>
      </w:r>
    </w:p>
    <w:p w14:paraId="6804F52A" w14:textId="4C316CDC" w:rsidR="00396607" w:rsidRDefault="00696852" w:rsidP="0043132C">
      <w:pPr>
        <w:spacing w:line="480" w:lineRule="auto"/>
        <w:ind w:firstLine="360"/>
        <w:rPr>
          <w:rFonts w:ascii="Times New Roman" w:hAnsi="Times New Roman" w:cs="Times New Roman"/>
          <w:sz w:val="24"/>
        </w:rPr>
      </w:pPr>
      <w:r>
        <w:rPr>
          <w:rFonts w:ascii="Times New Roman" w:hAnsi="Times New Roman" w:cs="Times New Roman"/>
          <w:sz w:val="24"/>
        </w:rPr>
        <w:tab/>
      </w:r>
      <w:r w:rsidR="00B4610B">
        <w:rPr>
          <w:rFonts w:ascii="Times New Roman" w:hAnsi="Times New Roman" w:cs="Times New Roman"/>
          <w:sz w:val="24"/>
        </w:rPr>
        <w:t xml:space="preserve">That, of course, </w:t>
      </w:r>
      <w:r w:rsidR="00504BB5">
        <w:rPr>
          <w:rFonts w:ascii="Times New Roman" w:hAnsi="Times New Roman" w:cs="Times New Roman"/>
          <w:sz w:val="24"/>
        </w:rPr>
        <w:t xml:space="preserve">is not the end of the story. While membership in these clubs provides substantial status, states are also concerned about their relative status </w:t>
      </w:r>
      <w:r w:rsidR="00AE68F1">
        <w:rPr>
          <w:rFonts w:ascii="Times New Roman" w:hAnsi="Times New Roman" w:cs="Times New Roman"/>
          <w:sz w:val="24"/>
        </w:rPr>
        <w:t xml:space="preserve">within </w:t>
      </w:r>
      <w:r w:rsidR="00504BB5">
        <w:rPr>
          <w:rFonts w:ascii="Times New Roman" w:hAnsi="Times New Roman" w:cs="Times New Roman"/>
          <w:sz w:val="24"/>
        </w:rPr>
        <w:t xml:space="preserve">the hierarchy </w:t>
      </w:r>
      <w:r w:rsidR="00AE68F1">
        <w:rPr>
          <w:rFonts w:ascii="Times New Roman" w:hAnsi="Times New Roman" w:cs="Times New Roman"/>
          <w:sz w:val="24"/>
        </w:rPr>
        <w:t xml:space="preserve">operating inside </w:t>
      </w:r>
      <w:r w:rsidR="00504BB5">
        <w:rPr>
          <w:rFonts w:ascii="Times New Roman" w:hAnsi="Times New Roman" w:cs="Times New Roman"/>
          <w:sz w:val="24"/>
        </w:rPr>
        <w:t xml:space="preserve">any status club. </w:t>
      </w:r>
      <w:r w:rsidR="00AE68F1">
        <w:rPr>
          <w:rFonts w:ascii="Times New Roman" w:hAnsi="Times New Roman" w:cs="Times New Roman"/>
          <w:sz w:val="24"/>
        </w:rPr>
        <w:t xml:space="preserve">France </w:t>
      </w:r>
      <w:r w:rsidR="00DA3358">
        <w:rPr>
          <w:rFonts w:ascii="Times New Roman" w:hAnsi="Times New Roman" w:cs="Times New Roman"/>
          <w:sz w:val="24"/>
        </w:rPr>
        <w:t>may be</w:t>
      </w:r>
      <w:r w:rsidR="00AA151F">
        <w:rPr>
          <w:rFonts w:ascii="Times New Roman" w:hAnsi="Times New Roman" w:cs="Times New Roman"/>
          <w:sz w:val="24"/>
        </w:rPr>
        <w:t xml:space="preserve"> </w:t>
      </w:r>
      <w:r w:rsidR="00AE68F1">
        <w:rPr>
          <w:rFonts w:ascii="Times New Roman" w:hAnsi="Times New Roman" w:cs="Times New Roman"/>
          <w:sz w:val="24"/>
        </w:rPr>
        <w:t xml:space="preserve">accorded more status within the major power club than the United Kingdom because its policies toward international politics may be more independent of the United States. </w:t>
      </w:r>
      <w:r w:rsidR="00AA151F">
        <w:rPr>
          <w:rFonts w:ascii="Times New Roman" w:hAnsi="Times New Roman" w:cs="Times New Roman"/>
          <w:sz w:val="24"/>
        </w:rPr>
        <w:t xml:space="preserve">The Russian Federation </w:t>
      </w:r>
      <w:r w:rsidR="00AE68F1">
        <w:rPr>
          <w:rFonts w:ascii="Times New Roman" w:hAnsi="Times New Roman" w:cs="Times New Roman"/>
          <w:sz w:val="24"/>
        </w:rPr>
        <w:t xml:space="preserve">may experience a status deficit (e.g. </w:t>
      </w:r>
      <w:proofErr w:type="spellStart"/>
      <w:r w:rsidR="00AE68F1">
        <w:rPr>
          <w:rFonts w:ascii="Times New Roman" w:hAnsi="Times New Roman" w:cs="Times New Roman"/>
          <w:sz w:val="24"/>
        </w:rPr>
        <w:t>Renshon</w:t>
      </w:r>
      <w:proofErr w:type="spellEnd"/>
      <w:r w:rsidR="00AE68F1">
        <w:rPr>
          <w:rFonts w:ascii="Times New Roman" w:hAnsi="Times New Roman" w:cs="Times New Roman"/>
          <w:sz w:val="24"/>
        </w:rPr>
        <w:t xml:space="preserve"> 2017)</w:t>
      </w:r>
      <w:r w:rsidR="00AA151F">
        <w:rPr>
          <w:rFonts w:ascii="Times New Roman" w:hAnsi="Times New Roman" w:cs="Times New Roman"/>
          <w:sz w:val="24"/>
        </w:rPr>
        <w:t>,</w:t>
      </w:r>
      <w:r w:rsidR="00AE68F1">
        <w:rPr>
          <w:rFonts w:ascii="Times New Roman" w:hAnsi="Times New Roman" w:cs="Times New Roman"/>
          <w:sz w:val="24"/>
        </w:rPr>
        <w:t xml:space="preserve"> </w:t>
      </w:r>
      <w:r w:rsidR="00AA151F">
        <w:rPr>
          <w:rFonts w:ascii="Times New Roman" w:hAnsi="Times New Roman" w:cs="Times New Roman"/>
          <w:sz w:val="24"/>
        </w:rPr>
        <w:t>or status inconsistency (Volgy et al</w:t>
      </w:r>
      <w:r w:rsidR="005C6170">
        <w:rPr>
          <w:rFonts w:ascii="Times New Roman" w:hAnsi="Times New Roman" w:cs="Times New Roman"/>
          <w:sz w:val="24"/>
        </w:rPr>
        <w:t>.</w:t>
      </w:r>
      <w:r w:rsidR="00AA151F">
        <w:rPr>
          <w:rFonts w:ascii="Times New Roman" w:hAnsi="Times New Roman" w:cs="Times New Roman"/>
          <w:sz w:val="24"/>
        </w:rPr>
        <w:t xml:space="preserve"> 201</w:t>
      </w:r>
      <w:r w:rsidR="005C6170">
        <w:rPr>
          <w:rFonts w:ascii="Times New Roman" w:hAnsi="Times New Roman" w:cs="Times New Roman"/>
          <w:sz w:val="24"/>
        </w:rPr>
        <w:t>1</w:t>
      </w:r>
      <w:r w:rsidR="00AA151F">
        <w:rPr>
          <w:rFonts w:ascii="Times New Roman" w:hAnsi="Times New Roman" w:cs="Times New Roman"/>
          <w:sz w:val="24"/>
        </w:rPr>
        <w:t xml:space="preserve">) </w:t>
      </w:r>
      <w:r w:rsidR="00AE68F1">
        <w:rPr>
          <w:rFonts w:ascii="Times New Roman" w:hAnsi="Times New Roman" w:cs="Times New Roman"/>
          <w:sz w:val="24"/>
        </w:rPr>
        <w:t xml:space="preserve">even </w:t>
      </w:r>
      <w:r w:rsidR="00F30063">
        <w:rPr>
          <w:rFonts w:ascii="Times New Roman" w:hAnsi="Times New Roman" w:cs="Times New Roman"/>
          <w:sz w:val="24"/>
        </w:rPr>
        <w:t>while</w:t>
      </w:r>
      <w:r w:rsidR="00AE68F1">
        <w:rPr>
          <w:rFonts w:ascii="Times New Roman" w:hAnsi="Times New Roman" w:cs="Times New Roman"/>
          <w:sz w:val="24"/>
        </w:rPr>
        <w:t xml:space="preserve"> Russia is a member of the major power club</w:t>
      </w:r>
      <w:r w:rsidR="00AA151F">
        <w:rPr>
          <w:rFonts w:ascii="Times New Roman" w:hAnsi="Times New Roman" w:cs="Times New Roman"/>
          <w:sz w:val="24"/>
        </w:rPr>
        <w:t xml:space="preserve">, because its status as a major power is not as high as its military </w:t>
      </w:r>
      <w:r w:rsidR="00F30063">
        <w:rPr>
          <w:rFonts w:ascii="Times New Roman" w:hAnsi="Times New Roman" w:cs="Times New Roman"/>
          <w:sz w:val="24"/>
        </w:rPr>
        <w:t xml:space="preserve">and economic </w:t>
      </w:r>
      <w:r w:rsidR="00AA151F">
        <w:rPr>
          <w:rFonts w:ascii="Times New Roman" w:hAnsi="Times New Roman" w:cs="Times New Roman"/>
          <w:sz w:val="24"/>
        </w:rPr>
        <w:t>assets and its global reach would warrant…in the eyes of Russian policy makers.</w:t>
      </w:r>
      <w:r w:rsidR="00AE68F1">
        <w:rPr>
          <w:rFonts w:ascii="Times New Roman" w:hAnsi="Times New Roman" w:cs="Times New Roman"/>
          <w:sz w:val="24"/>
        </w:rPr>
        <w:t xml:space="preserve"> </w:t>
      </w:r>
      <w:r w:rsidR="00AA151F">
        <w:rPr>
          <w:rFonts w:ascii="Times New Roman" w:hAnsi="Times New Roman" w:cs="Times New Roman"/>
          <w:sz w:val="24"/>
        </w:rPr>
        <w:t xml:space="preserve">These are issues of hierarchical positioning within the same club, and “rising” in this context may refer to climbing higher </w:t>
      </w:r>
      <w:r w:rsidR="004E7ADC">
        <w:rPr>
          <w:rFonts w:ascii="Times New Roman" w:hAnsi="Times New Roman" w:cs="Times New Roman"/>
          <w:sz w:val="24"/>
        </w:rPr>
        <w:t>with</w:t>
      </w:r>
      <w:r w:rsidR="00AA151F">
        <w:rPr>
          <w:rFonts w:ascii="Times New Roman" w:hAnsi="Times New Roman" w:cs="Times New Roman"/>
          <w:sz w:val="24"/>
        </w:rPr>
        <w:t xml:space="preserve">in the hierarchy of the club. </w:t>
      </w:r>
    </w:p>
    <w:p w14:paraId="447AB336" w14:textId="009375F6" w:rsidR="00A33A3C" w:rsidRDefault="00A33A3C" w:rsidP="00A33A3C">
      <w:pPr>
        <w:spacing w:line="480" w:lineRule="auto"/>
        <w:rPr>
          <w:rFonts w:ascii="Times New Roman" w:hAnsi="Times New Roman" w:cs="Times New Roman"/>
          <w:sz w:val="24"/>
        </w:rPr>
      </w:pPr>
      <w:r>
        <w:rPr>
          <w:noProof/>
        </w:rPr>
        <w:lastRenderedPageBreak/>
        <w:drawing>
          <wp:inline distT="0" distB="0" distL="0" distR="0" wp14:anchorId="342100C3" wp14:editId="7126FAA0">
            <wp:extent cx="5915770" cy="2838450"/>
            <wp:effectExtent l="0" t="0" r="8890" b="0"/>
            <wp:docPr id="17" name="Chart 17">
              <a:extLst xmlns:a="http://schemas.openxmlformats.org/drawingml/2006/main">
                <a:ext uri="{FF2B5EF4-FFF2-40B4-BE49-F238E27FC236}">
                  <a16:creationId xmlns:a16="http://schemas.microsoft.com/office/drawing/2014/main" id="{87194503-2B65-423B-BA40-A0059759AB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E3282E7" w14:textId="3C69DE1C" w:rsidR="00B4610B" w:rsidRDefault="00B4610B" w:rsidP="005861CD">
      <w:pPr>
        <w:spacing w:line="480" w:lineRule="auto"/>
        <w:ind w:firstLine="720"/>
        <w:rPr>
          <w:rFonts w:ascii="Times New Roman" w:hAnsi="Times New Roman" w:cs="Times New Roman"/>
          <w:sz w:val="24"/>
        </w:rPr>
      </w:pPr>
      <w:r>
        <w:rPr>
          <w:rFonts w:ascii="Times New Roman" w:hAnsi="Times New Roman" w:cs="Times New Roman"/>
          <w:sz w:val="24"/>
        </w:rPr>
        <w:t xml:space="preserve">One way of assessing differences in hierarchical positioning within status groups is by </w:t>
      </w:r>
      <w:r w:rsidR="00D31608">
        <w:rPr>
          <w:rFonts w:ascii="Times New Roman" w:hAnsi="Times New Roman" w:cs="Times New Roman"/>
          <w:sz w:val="24"/>
        </w:rPr>
        <w:t>observing the status attributed</w:t>
      </w:r>
      <w:r>
        <w:rPr>
          <w:rFonts w:ascii="Times New Roman" w:hAnsi="Times New Roman" w:cs="Times New Roman"/>
          <w:sz w:val="24"/>
        </w:rPr>
        <w:t xml:space="preserve"> to group members by the community of states.</w:t>
      </w:r>
      <w:r>
        <w:rPr>
          <w:rStyle w:val="FootnoteReference"/>
          <w:rFonts w:ascii="Times New Roman" w:hAnsi="Times New Roman" w:cs="Times New Roman"/>
          <w:sz w:val="24"/>
        </w:rPr>
        <w:footnoteReference w:id="4"/>
      </w:r>
      <w:r>
        <w:rPr>
          <w:rFonts w:ascii="Times New Roman" w:hAnsi="Times New Roman" w:cs="Times New Roman"/>
          <w:sz w:val="24"/>
        </w:rPr>
        <w:t xml:space="preserve"> Using diplomatic representation,</w:t>
      </w:r>
      <w:r w:rsidR="00D31608">
        <w:rPr>
          <w:rStyle w:val="FootnoteReference"/>
          <w:rFonts w:ascii="Times New Roman" w:hAnsi="Times New Roman" w:cs="Times New Roman"/>
          <w:sz w:val="24"/>
        </w:rPr>
        <w:footnoteReference w:id="5"/>
      </w:r>
      <w:r>
        <w:rPr>
          <w:rFonts w:ascii="Times New Roman" w:hAnsi="Times New Roman" w:cs="Times New Roman"/>
          <w:sz w:val="24"/>
        </w:rPr>
        <w:t xml:space="preserve"> Figure 2 shows the scores for members of the major power club for 2010. Using this reference point China already receives more status than all but one other member (the U.S.) of the major power club, suggesting that it has “arrived”</w:t>
      </w:r>
      <w:r w:rsidR="00AE72BE">
        <w:rPr>
          <w:rFonts w:ascii="Times New Roman" w:hAnsi="Times New Roman" w:cs="Times New Roman"/>
          <w:sz w:val="24"/>
        </w:rPr>
        <w:t xml:space="preserve"> also in the context of hierarchical ranking within the club</w:t>
      </w:r>
      <w:r>
        <w:rPr>
          <w:rFonts w:ascii="Times New Roman" w:hAnsi="Times New Roman" w:cs="Times New Roman"/>
          <w:sz w:val="24"/>
        </w:rPr>
        <w:t xml:space="preserve">. </w:t>
      </w:r>
    </w:p>
    <w:p w14:paraId="004E8E8E" w14:textId="3ADF9EE8" w:rsidR="0076695B" w:rsidRDefault="0076695B" w:rsidP="0076695B">
      <w:pPr>
        <w:spacing w:line="480" w:lineRule="auto"/>
        <w:ind w:firstLine="360"/>
        <w:rPr>
          <w:rFonts w:ascii="Times New Roman" w:hAnsi="Times New Roman" w:cs="Times New Roman"/>
          <w:sz w:val="24"/>
        </w:rPr>
      </w:pPr>
      <w:r>
        <w:rPr>
          <w:rFonts w:ascii="Times New Roman" w:hAnsi="Times New Roman" w:cs="Times New Roman"/>
          <w:sz w:val="24"/>
        </w:rPr>
        <w:t xml:space="preserve">Additionally, Figure 3 suggests changes in status attribution for the Russian Federation and China since the end of the Cold War (controlling for system size). </w:t>
      </w:r>
      <w:r w:rsidR="00F30063">
        <w:rPr>
          <w:rFonts w:ascii="Times New Roman" w:hAnsi="Times New Roman" w:cs="Times New Roman"/>
          <w:sz w:val="24"/>
        </w:rPr>
        <w:t xml:space="preserve">By 2010, </w:t>
      </w:r>
      <w:r>
        <w:rPr>
          <w:rFonts w:ascii="Times New Roman" w:hAnsi="Times New Roman" w:cs="Times New Roman"/>
          <w:sz w:val="24"/>
        </w:rPr>
        <w:t>the status attributed to China has surpassed that of the Russian Federation</w:t>
      </w:r>
      <w:r w:rsidR="00B4610B">
        <w:rPr>
          <w:rFonts w:ascii="Times New Roman" w:hAnsi="Times New Roman" w:cs="Times New Roman"/>
          <w:sz w:val="24"/>
        </w:rPr>
        <w:t>,</w:t>
      </w:r>
      <w:r>
        <w:rPr>
          <w:rStyle w:val="FootnoteReference"/>
          <w:rFonts w:ascii="Times New Roman" w:hAnsi="Times New Roman" w:cs="Times New Roman"/>
          <w:sz w:val="24"/>
        </w:rPr>
        <w:footnoteReference w:id="6"/>
      </w:r>
      <w:r>
        <w:rPr>
          <w:rFonts w:ascii="Times New Roman" w:hAnsi="Times New Roman" w:cs="Times New Roman"/>
          <w:sz w:val="24"/>
        </w:rPr>
        <w:t xml:space="preserve"> </w:t>
      </w:r>
      <w:r w:rsidR="00B4610B">
        <w:rPr>
          <w:rFonts w:ascii="Times New Roman" w:hAnsi="Times New Roman" w:cs="Times New Roman"/>
          <w:sz w:val="24"/>
        </w:rPr>
        <w:t xml:space="preserve">suggesting that rather than being a </w:t>
      </w:r>
      <w:r w:rsidR="00B4610B">
        <w:rPr>
          <w:rFonts w:ascii="Times New Roman" w:hAnsi="Times New Roman" w:cs="Times New Roman"/>
          <w:sz w:val="24"/>
        </w:rPr>
        <w:lastRenderedPageBreak/>
        <w:t xml:space="preserve">“rising” power, the Russian Federation, compared to China, is declining </w:t>
      </w:r>
      <w:r w:rsidR="00AE72BE">
        <w:rPr>
          <w:rFonts w:ascii="Times New Roman" w:hAnsi="Times New Roman" w:cs="Times New Roman"/>
          <w:sz w:val="24"/>
        </w:rPr>
        <w:t>in ranking</w:t>
      </w:r>
      <w:r w:rsidR="00F30063">
        <w:rPr>
          <w:rFonts w:ascii="Times New Roman" w:hAnsi="Times New Roman" w:cs="Times New Roman"/>
          <w:sz w:val="24"/>
        </w:rPr>
        <w:t xml:space="preserve"> within the major power club, at least using China as the reference point.</w:t>
      </w:r>
    </w:p>
    <w:p w14:paraId="013DBD18" w14:textId="051276BC" w:rsidR="009032B0" w:rsidRDefault="009032B0" w:rsidP="00FA6799">
      <w:pPr>
        <w:spacing w:line="480" w:lineRule="auto"/>
        <w:rPr>
          <w:rFonts w:ascii="Times New Roman" w:hAnsi="Times New Roman" w:cs="Times New Roman"/>
          <w:sz w:val="24"/>
        </w:rPr>
      </w:pPr>
      <w:r>
        <w:rPr>
          <w:noProof/>
        </w:rPr>
        <w:drawing>
          <wp:inline distT="0" distB="0" distL="0" distR="0" wp14:anchorId="12D91F6F" wp14:editId="2763A849">
            <wp:extent cx="6002655" cy="2902227"/>
            <wp:effectExtent l="0" t="0" r="17145"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3E16C2">
        <w:rPr>
          <w:rFonts w:ascii="Times New Roman" w:hAnsi="Times New Roman" w:cs="Times New Roman"/>
          <w:sz w:val="24"/>
        </w:rPr>
        <w:t xml:space="preserve"> </w:t>
      </w:r>
    </w:p>
    <w:p w14:paraId="3A21A6FD" w14:textId="4F7EF5DC" w:rsidR="00DA4127" w:rsidRDefault="00FA6799" w:rsidP="00FA6799">
      <w:pPr>
        <w:spacing w:line="480" w:lineRule="auto"/>
        <w:rPr>
          <w:rFonts w:ascii="Times New Roman" w:hAnsi="Times New Roman" w:cs="Times New Roman"/>
          <w:sz w:val="24"/>
        </w:rPr>
      </w:pPr>
      <w:r>
        <w:rPr>
          <w:rFonts w:ascii="Times New Roman" w:hAnsi="Times New Roman" w:cs="Times New Roman"/>
          <w:sz w:val="24"/>
        </w:rPr>
        <w:tab/>
      </w:r>
      <w:r w:rsidR="00546B94">
        <w:rPr>
          <w:rFonts w:ascii="Times New Roman" w:hAnsi="Times New Roman" w:cs="Times New Roman"/>
          <w:sz w:val="24"/>
        </w:rPr>
        <w:t xml:space="preserve">States may also be “rising” in terms of seeking </w:t>
      </w:r>
      <w:r w:rsidR="00D92336">
        <w:rPr>
          <w:rFonts w:ascii="Times New Roman" w:hAnsi="Times New Roman" w:cs="Times New Roman"/>
          <w:sz w:val="24"/>
        </w:rPr>
        <w:t xml:space="preserve">to move from one </w:t>
      </w:r>
      <w:r w:rsidR="000B4037">
        <w:rPr>
          <w:rFonts w:ascii="Times New Roman" w:hAnsi="Times New Roman" w:cs="Times New Roman"/>
          <w:sz w:val="24"/>
        </w:rPr>
        <w:t xml:space="preserve">high-status </w:t>
      </w:r>
      <w:r w:rsidR="00D92336">
        <w:rPr>
          <w:rFonts w:ascii="Times New Roman" w:hAnsi="Times New Roman" w:cs="Times New Roman"/>
          <w:sz w:val="24"/>
        </w:rPr>
        <w:t>club (regional power club) to a</w:t>
      </w:r>
      <w:r w:rsidR="000B4037">
        <w:rPr>
          <w:rFonts w:ascii="Times New Roman" w:hAnsi="Times New Roman" w:cs="Times New Roman"/>
          <w:sz w:val="24"/>
        </w:rPr>
        <w:t>n even</w:t>
      </w:r>
      <w:r w:rsidR="00D92336">
        <w:rPr>
          <w:rFonts w:ascii="Times New Roman" w:hAnsi="Times New Roman" w:cs="Times New Roman"/>
          <w:sz w:val="24"/>
        </w:rPr>
        <w:t xml:space="preserve"> </w:t>
      </w:r>
      <w:r w:rsidR="00546B94">
        <w:rPr>
          <w:rFonts w:ascii="Times New Roman" w:hAnsi="Times New Roman" w:cs="Times New Roman"/>
          <w:sz w:val="24"/>
        </w:rPr>
        <w:t>more exclusive status club</w:t>
      </w:r>
      <w:r w:rsidR="00D92336">
        <w:rPr>
          <w:rFonts w:ascii="Times New Roman" w:hAnsi="Times New Roman" w:cs="Times New Roman"/>
          <w:sz w:val="24"/>
        </w:rPr>
        <w:t xml:space="preserve"> (major power club)</w:t>
      </w:r>
      <w:r w:rsidR="00546B94">
        <w:rPr>
          <w:rFonts w:ascii="Times New Roman" w:hAnsi="Times New Roman" w:cs="Times New Roman"/>
          <w:sz w:val="24"/>
        </w:rPr>
        <w:t xml:space="preserve">. </w:t>
      </w:r>
      <w:r w:rsidR="00DA4127">
        <w:rPr>
          <w:rFonts w:ascii="Times New Roman" w:hAnsi="Times New Roman" w:cs="Times New Roman"/>
          <w:sz w:val="24"/>
        </w:rPr>
        <w:t>India and Brazil are two states that have demonstrated an interest in doing so</w:t>
      </w:r>
      <w:r w:rsidR="00F0799F">
        <w:rPr>
          <w:rFonts w:ascii="Times New Roman" w:hAnsi="Times New Roman" w:cs="Times New Roman"/>
          <w:sz w:val="24"/>
        </w:rPr>
        <w:t xml:space="preserve"> (</w:t>
      </w:r>
      <w:proofErr w:type="spellStart"/>
      <w:r w:rsidR="008D09B0">
        <w:rPr>
          <w:rFonts w:ascii="Times New Roman" w:hAnsi="Times New Roman" w:cs="Times New Roman"/>
          <w:sz w:val="24"/>
        </w:rPr>
        <w:t>Basrur</w:t>
      </w:r>
      <w:proofErr w:type="spellEnd"/>
      <w:r w:rsidR="00F0799F">
        <w:rPr>
          <w:rFonts w:ascii="Times New Roman" w:hAnsi="Times New Roman" w:cs="Times New Roman"/>
          <w:sz w:val="24"/>
        </w:rPr>
        <w:t xml:space="preserve"> 2011, </w:t>
      </w:r>
      <w:proofErr w:type="spellStart"/>
      <w:r w:rsidR="008D09B0">
        <w:rPr>
          <w:rFonts w:ascii="Times New Roman" w:hAnsi="Times New Roman" w:cs="Times New Roman"/>
          <w:sz w:val="24"/>
        </w:rPr>
        <w:t>Herz</w:t>
      </w:r>
      <w:proofErr w:type="spellEnd"/>
      <w:r w:rsidR="00F0799F">
        <w:rPr>
          <w:rFonts w:ascii="Times New Roman" w:hAnsi="Times New Roman" w:cs="Times New Roman"/>
          <w:sz w:val="24"/>
        </w:rPr>
        <w:t xml:space="preserve"> 2011)</w:t>
      </w:r>
      <w:r w:rsidR="00DA4127">
        <w:rPr>
          <w:rFonts w:ascii="Times New Roman" w:hAnsi="Times New Roman" w:cs="Times New Roman"/>
          <w:sz w:val="24"/>
        </w:rPr>
        <w:t xml:space="preserve">. In this sense they could be considered rising </w:t>
      </w:r>
      <w:r w:rsidR="000B4037">
        <w:rPr>
          <w:rFonts w:ascii="Times New Roman" w:hAnsi="Times New Roman" w:cs="Times New Roman"/>
          <w:sz w:val="24"/>
        </w:rPr>
        <w:t xml:space="preserve">regional </w:t>
      </w:r>
      <w:r w:rsidR="00DA4127">
        <w:rPr>
          <w:rFonts w:ascii="Times New Roman" w:hAnsi="Times New Roman" w:cs="Times New Roman"/>
          <w:sz w:val="24"/>
        </w:rPr>
        <w:t>powers as they seek entrance to the club of major powers. Getting there, however, may be quite problematic. We have attempted to trace how much additional capability</w:t>
      </w:r>
      <w:r w:rsidR="000B4037">
        <w:rPr>
          <w:rFonts w:ascii="Times New Roman" w:hAnsi="Times New Roman" w:cs="Times New Roman"/>
          <w:sz w:val="24"/>
        </w:rPr>
        <w:t>, global involvement</w:t>
      </w:r>
      <w:r w:rsidR="00F0799F">
        <w:rPr>
          <w:rFonts w:ascii="Times New Roman" w:hAnsi="Times New Roman" w:cs="Times New Roman"/>
          <w:sz w:val="24"/>
        </w:rPr>
        <w:t>,</w:t>
      </w:r>
      <w:r w:rsidR="000B4037">
        <w:rPr>
          <w:rFonts w:ascii="Times New Roman" w:hAnsi="Times New Roman" w:cs="Times New Roman"/>
          <w:sz w:val="24"/>
        </w:rPr>
        <w:t xml:space="preserve"> and status</w:t>
      </w:r>
      <w:r w:rsidR="00DA4127">
        <w:rPr>
          <w:rFonts w:ascii="Times New Roman" w:hAnsi="Times New Roman" w:cs="Times New Roman"/>
          <w:sz w:val="24"/>
        </w:rPr>
        <w:t xml:space="preserve"> these states would require to exceed the thresholds needed for </w:t>
      </w:r>
      <w:r w:rsidR="00A47E9B">
        <w:rPr>
          <w:rFonts w:ascii="Times New Roman" w:hAnsi="Times New Roman" w:cs="Times New Roman"/>
          <w:sz w:val="24"/>
        </w:rPr>
        <w:t>entry into the major power club. U</w:t>
      </w:r>
      <w:r w:rsidR="00DA4127">
        <w:rPr>
          <w:rFonts w:ascii="Times New Roman" w:hAnsi="Times New Roman" w:cs="Times New Roman"/>
          <w:sz w:val="24"/>
        </w:rPr>
        <w:t>nder the most favorable scenario we project</w:t>
      </w:r>
      <w:r w:rsidR="00F0799F">
        <w:rPr>
          <w:rFonts w:ascii="Times New Roman" w:hAnsi="Times New Roman" w:cs="Times New Roman"/>
          <w:sz w:val="24"/>
        </w:rPr>
        <w:t>ed</w:t>
      </w:r>
      <w:r w:rsidR="00DA4127">
        <w:rPr>
          <w:rFonts w:ascii="Times New Roman" w:hAnsi="Times New Roman" w:cs="Times New Roman"/>
          <w:sz w:val="24"/>
        </w:rPr>
        <w:t xml:space="preserve"> that India would not gain entrance into the club until around 2060 while we find no scenario under which Brazil would surpass the club threshold in the </w:t>
      </w:r>
      <w:r w:rsidR="000B4037">
        <w:rPr>
          <w:rFonts w:ascii="Times New Roman" w:hAnsi="Times New Roman" w:cs="Times New Roman"/>
          <w:sz w:val="24"/>
        </w:rPr>
        <w:t>next half century</w:t>
      </w:r>
      <w:r w:rsidR="00DA4127">
        <w:rPr>
          <w:rFonts w:ascii="Times New Roman" w:hAnsi="Times New Roman" w:cs="Times New Roman"/>
          <w:sz w:val="24"/>
        </w:rPr>
        <w:t xml:space="preserve"> (Volgy et al. 2014).</w:t>
      </w:r>
      <w:r w:rsidR="00DA4127">
        <w:rPr>
          <w:rStyle w:val="FootnoteReference"/>
          <w:rFonts w:ascii="Times New Roman" w:hAnsi="Times New Roman" w:cs="Times New Roman"/>
          <w:sz w:val="24"/>
        </w:rPr>
        <w:footnoteReference w:id="7"/>
      </w:r>
      <w:r w:rsidR="00DA4127">
        <w:rPr>
          <w:rFonts w:ascii="Times New Roman" w:hAnsi="Times New Roman" w:cs="Times New Roman"/>
          <w:sz w:val="24"/>
        </w:rPr>
        <w:t xml:space="preserve"> </w:t>
      </w:r>
    </w:p>
    <w:p w14:paraId="0D07984E" w14:textId="1795EDD4" w:rsidR="005255E9" w:rsidRDefault="00C34F17" w:rsidP="00C34F17">
      <w:pPr>
        <w:spacing w:line="480" w:lineRule="auto"/>
        <w:rPr>
          <w:rFonts w:ascii="Times New Roman" w:hAnsi="Times New Roman" w:cs="Times New Roman"/>
          <w:sz w:val="24"/>
        </w:rPr>
      </w:pPr>
      <w:r>
        <w:rPr>
          <w:noProof/>
        </w:rPr>
        <w:lastRenderedPageBreak/>
        <w:drawing>
          <wp:inline distT="0" distB="0" distL="0" distR="0" wp14:anchorId="7F006437" wp14:editId="576D7FD3">
            <wp:extent cx="5943600" cy="3061252"/>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546B94">
        <w:rPr>
          <w:rFonts w:ascii="Times New Roman" w:hAnsi="Times New Roman" w:cs="Times New Roman"/>
          <w:sz w:val="24"/>
        </w:rPr>
        <w:tab/>
      </w:r>
      <w:r w:rsidR="005255E9">
        <w:rPr>
          <w:rFonts w:ascii="Times New Roman" w:hAnsi="Times New Roman" w:cs="Times New Roman"/>
          <w:sz w:val="24"/>
        </w:rPr>
        <w:t xml:space="preserve">What of the prospects for Turkey and Iran to gain entrance to the regional power club? </w:t>
      </w:r>
      <w:r w:rsidR="000B4037">
        <w:rPr>
          <w:rFonts w:ascii="Times New Roman" w:hAnsi="Times New Roman" w:cs="Times New Roman"/>
          <w:sz w:val="24"/>
        </w:rPr>
        <w:t>From a geopolitical perspective, b</w:t>
      </w:r>
      <w:r w:rsidR="005255E9">
        <w:rPr>
          <w:rFonts w:ascii="Times New Roman" w:hAnsi="Times New Roman" w:cs="Times New Roman"/>
          <w:sz w:val="24"/>
        </w:rPr>
        <w:t xml:space="preserve">oth states potentially qualify </w:t>
      </w:r>
      <w:r w:rsidR="000B4037">
        <w:rPr>
          <w:rFonts w:ascii="Times New Roman" w:hAnsi="Times New Roman" w:cs="Times New Roman"/>
          <w:sz w:val="24"/>
        </w:rPr>
        <w:t>for</w:t>
      </w:r>
      <w:r w:rsidR="005255E9">
        <w:rPr>
          <w:rFonts w:ascii="Times New Roman" w:hAnsi="Times New Roman" w:cs="Times New Roman"/>
          <w:sz w:val="24"/>
        </w:rPr>
        <w:t xml:space="preserve"> regional power status in the Middle East. Yet, as Figures</w:t>
      </w:r>
      <w:r>
        <w:rPr>
          <w:rFonts w:ascii="Times New Roman" w:hAnsi="Times New Roman" w:cs="Times New Roman"/>
          <w:sz w:val="24"/>
        </w:rPr>
        <w:t xml:space="preserve"> 4</w:t>
      </w:r>
      <w:r w:rsidR="005255E9">
        <w:rPr>
          <w:rFonts w:ascii="Times New Roman" w:hAnsi="Times New Roman" w:cs="Times New Roman"/>
          <w:sz w:val="24"/>
        </w:rPr>
        <w:t xml:space="preserve"> and </w:t>
      </w:r>
      <w:r>
        <w:rPr>
          <w:rFonts w:ascii="Times New Roman" w:hAnsi="Times New Roman" w:cs="Times New Roman"/>
          <w:sz w:val="24"/>
        </w:rPr>
        <w:t xml:space="preserve">5 </w:t>
      </w:r>
      <w:r w:rsidR="005255E9">
        <w:rPr>
          <w:rFonts w:ascii="Times New Roman" w:hAnsi="Times New Roman" w:cs="Times New Roman"/>
          <w:sz w:val="24"/>
        </w:rPr>
        <w:t>illustrate, they are far from meeting the capability requirements for becoming that region’s dominant power. In Turkey’s case, it has the largest economy of the four regional states in Figure</w:t>
      </w:r>
      <w:r>
        <w:rPr>
          <w:rFonts w:ascii="Times New Roman" w:hAnsi="Times New Roman" w:cs="Times New Roman"/>
          <w:sz w:val="24"/>
        </w:rPr>
        <w:t xml:space="preserve"> 4</w:t>
      </w:r>
      <w:r w:rsidR="005255E9">
        <w:rPr>
          <w:rFonts w:ascii="Times New Roman" w:hAnsi="Times New Roman" w:cs="Times New Roman"/>
          <w:sz w:val="24"/>
        </w:rPr>
        <w:t xml:space="preserve">, and its trajectory is promising, albeit its economy does not dominate </w:t>
      </w:r>
      <w:r w:rsidR="00EB6B8A">
        <w:rPr>
          <w:rFonts w:ascii="Times New Roman" w:hAnsi="Times New Roman" w:cs="Times New Roman"/>
          <w:sz w:val="24"/>
        </w:rPr>
        <w:t>the region.</w:t>
      </w:r>
      <w:r w:rsidR="005255E9">
        <w:rPr>
          <w:rFonts w:ascii="Times New Roman" w:hAnsi="Times New Roman" w:cs="Times New Roman"/>
          <w:sz w:val="24"/>
        </w:rPr>
        <w:t xml:space="preserve"> Regarding military capacity, it demonstrates no unusual</w:t>
      </w:r>
      <w:r w:rsidR="000B4037">
        <w:rPr>
          <w:rFonts w:ascii="Times New Roman" w:hAnsi="Times New Roman" w:cs="Times New Roman"/>
          <w:sz w:val="24"/>
        </w:rPr>
        <w:t>ly strong</w:t>
      </w:r>
      <w:r w:rsidR="005255E9">
        <w:rPr>
          <w:rFonts w:ascii="Times New Roman" w:hAnsi="Times New Roman" w:cs="Times New Roman"/>
          <w:sz w:val="24"/>
        </w:rPr>
        <w:t xml:space="preserve"> capabilities </w:t>
      </w:r>
      <w:r w:rsidR="00E57ED2">
        <w:rPr>
          <w:rFonts w:ascii="Times New Roman" w:hAnsi="Times New Roman" w:cs="Times New Roman"/>
          <w:sz w:val="24"/>
        </w:rPr>
        <w:t>compared to other regional states</w:t>
      </w:r>
      <w:r w:rsidR="00F0799F">
        <w:rPr>
          <w:rFonts w:ascii="Times New Roman" w:hAnsi="Times New Roman" w:cs="Times New Roman"/>
          <w:sz w:val="24"/>
        </w:rPr>
        <w:t xml:space="preserve"> </w:t>
      </w:r>
      <w:r w:rsidR="005255E9">
        <w:rPr>
          <w:rFonts w:ascii="Times New Roman" w:hAnsi="Times New Roman" w:cs="Times New Roman"/>
          <w:sz w:val="24"/>
        </w:rPr>
        <w:t xml:space="preserve">(Figure </w:t>
      </w:r>
      <w:r>
        <w:rPr>
          <w:rFonts w:ascii="Times New Roman" w:hAnsi="Times New Roman" w:cs="Times New Roman"/>
          <w:sz w:val="24"/>
        </w:rPr>
        <w:t>5</w:t>
      </w:r>
      <w:r w:rsidR="005255E9">
        <w:rPr>
          <w:rFonts w:ascii="Times New Roman" w:hAnsi="Times New Roman" w:cs="Times New Roman"/>
          <w:sz w:val="24"/>
        </w:rPr>
        <w:t>), and in</w:t>
      </w:r>
      <w:r w:rsidR="000B4037">
        <w:rPr>
          <w:rFonts w:ascii="Times New Roman" w:hAnsi="Times New Roman" w:cs="Times New Roman"/>
          <w:sz w:val="24"/>
        </w:rPr>
        <w:t xml:space="preserve"> fact, its military spending is </w:t>
      </w:r>
      <w:r w:rsidR="005255E9">
        <w:rPr>
          <w:rFonts w:ascii="Times New Roman" w:hAnsi="Times New Roman" w:cs="Times New Roman"/>
          <w:sz w:val="24"/>
        </w:rPr>
        <w:t xml:space="preserve">dwarfed by Saudi Arabia. Iranian capabilities, both economic and military, do not resemble the qualities associated with a dominant regional power, lagging on the size of its GDP, and substantially underspending </w:t>
      </w:r>
      <w:r>
        <w:rPr>
          <w:rFonts w:ascii="Times New Roman" w:hAnsi="Times New Roman" w:cs="Times New Roman"/>
          <w:sz w:val="24"/>
        </w:rPr>
        <w:t xml:space="preserve">the three </w:t>
      </w:r>
      <w:r w:rsidR="00F0799F">
        <w:rPr>
          <w:rFonts w:ascii="Times New Roman" w:hAnsi="Times New Roman" w:cs="Times New Roman"/>
          <w:sz w:val="24"/>
        </w:rPr>
        <w:t xml:space="preserve">other Middle Eastern </w:t>
      </w:r>
      <w:r>
        <w:rPr>
          <w:rFonts w:ascii="Times New Roman" w:hAnsi="Times New Roman" w:cs="Times New Roman"/>
          <w:sz w:val="24"/>
        </w:rPr>
        <w:t xml:space="preserve">states </w:t>
      </w:r>
      <w:r w:rsidR="00F0799F">
        <w:rPr>
          <w:rFonts w:ascii="Times New Roman" w:hAnsi="Times New Roman" w:cs="Times New Roman"/>
          <w:sz w:val="24"/>
        </w:rPr>
        <w:t xml:space="preserve">on its </w:t>
      </w:r>
      <w:r>
        <w:rPr>
          <w:rFonts w:ascii="Times New Roman" w:hAnsi="Times New Roman" w:cs="Times New Roman"/>
          <w:sz w:val="24"/>
        </w:rPr>
        <w:t xml:space="preserve">military </w:t>
      </w:r>
      <w:r w:rsidR="00F0799F">
        <w:rPr>
          <w:rFonts w:ascii="Times New Roman" w:hAnsi="Times New Roman" w:cs="Times New Roman"/>
          <w:sz w:val="24"/>
        </w:rPr>
        <w:t xml:space="preserve">capabilities. </w:t>
      </w:r>
      <w:r>
        <w:rPr>
          <w:rFonts w:ascii="Times New Roman" w:hAnsi="Times New Roman" w:cs="Times New Roman"/>
          <w:sz w:val="24"/>
        </w:rPr>
        <w:t xml:space="preserve"> </w:t>
      </w:r>
    </w:p>
    <w:p w14:paraId="4907FCD3" w14:textId="34D8E13F" w:rsidR="00C34F17" w:rsidRDefault="00C34F17" w:rsidP="00C34F17">
      <w:pPr>
        <w:spacing w:line="480" w:lineRule="auto"/>
        <w:rPr>
          <w:rFonts w:ascii="Times New Roman" w:hAnsi="Times New Roman" w:cs="Times New Roman"/>
          <w:sz w:val="24"/>
        </w:rPr>
      </w:pPr>
      <w:r>
        <w:rPr>
          <w:noProof/>
        </w:rPr>
        <w:lastRenderedPageBreak/>
        <w:drawing>
          <wp:inline distT="0" distB="0" distL="0" distR="0" wp14:anchorId="7F4607A6" wp14:editId="0BB912DB">
            <wp:extent cx="5943600" cy="3013544"/>
            <wp:effectExtent l="0" t="0" r="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061EEB" w14:textId="437A61D5" w:rsidR="00D85A76" w:rsidRDefault="00546B94" w:rsidP="005255E9">
      <w:pPr>
        <w:spacing w:line="480" w:lineRule="auto"/>
        <w:ind w:firstLine="720"/>
        <w:rPr>
          <w:rFonts w:ascii="Times New Roman" w:hAnsi="Times New Roman" w:cs="Times New Roman"/>
          <w:sz w:val="24"/>
        </w:rPr>
      </w:pPr>
      <w:r>
        <w:rPr>
          <w:rFonts w:ascii="Times New Roman" w:hAnsi="Times New Roman" w:cs="Times New Roman"/>
          <w:sz w:val="24"/>
        </w:rPr>
        <w:t xml:space="preserve">Increasing state capacity may be a necessary condition for achieving major power club membership but it </w:t>
      </w:r>
      <w:r w:rsidR="00AE72BE">
        <w:rPr>
          <w:rFonts w:ascii="Times New Roman" w:hAnsi="Times New Roman" w:cs="Times New Roman"/>
          <w:sz w:val="24"/>
        </w:rPr>
        <w:t>is</w:t>
      </w:r>
      <w:r>
        <w:rPr>
          <w:rFonts w:ascii="Times New Roman" w:hAnsi="Times New Roman" w:cs="Times New Roman"/>
          <w:sz w:val="24"/>
        </w:rPr>
        <w:t xml:space="preserve"> not be a sufficient condition for doing so. Using th</w:t>
      </w:r>
      <w:r w:rsidR="00AE72BE">
        <w:rPr>
          <w:rFonts w:ascii="Times New Roman" w:hAnsi="Times New Roman" w:cs="Times New Roman"/>
          <w:sz w:val="24"/>
        </w:rPr>
        <w:t xml:space="preserve">e capability </w:t>
      </w:r>
      <w:r>
        <w:rPr>
          <w:rFonts w:ascii="Times New Roman" w:hAnsi="Times New Roman" w:cs="Times New Roman"/>
          <w:sz w:val="24"/>
        </w:rPr>
        <w:t xml:space="preserve">metric, the U.S. could have become a member of the major power club after World War I, but it chose not to engage globally until the start of World War II. Germany flirted with major power status after the Cold War but chose to remain the strong regional power in Europe (see Volgy et al. 2011). </w:t>
      </w:r>
    </w:p>
    <w:p w14:paraId="1C1E39F9" w14:textId="35EEE432" w:rsidR="00D85A76" w:rsidRDefault="00D85A76" w:rsidP="00D85A76">
      <w:pPr>
        <w:spacing w:line="480" w:lineRule="auto"/>
        <w:ind w:firstLine="720"/>
        <w:rPr>
          <w:rFonts w:ascii="Times New Roman" w:hAnsi="Times New Roman" w:cs="Times New Roman"/>
          <w:sz w:val="24"/>
        </w:rPr>
      </w:pPr>
      <w:proofErr w:type="gramStart"/>
      <w:r>
        <w:rPr>
          <w:rFonts w:ascii="Times New Roman" w:hAnsi="Times New Roman" w:cs="Times New Roman"/>
          <w:sz w:val="24"/>
        </w:rPr>
        <w:t>We suggest that in order for a state to “rise” in terms of either gaining membership into a high</w:t>
      </w:r>
      <w:r w:rsidR="00AE72BE">
        <w:rPr>
          <w:rFonts w:ascii="Times New Roman" w:hAnsi="Times New Roman" w:cs="Times New Roman"/>
          <w:sz w:val="24"/>
        </w:rPr>
        <w:t>er</w:t>
      </w:r>
      <w:r>
        <w:rPr>
          <w:rFonts w:ascii="Times New Roman" w:hAnsi="Times New Roman" w:cs="Times New Roman"/>
          <w:sz w:val="24"/>
        </w:rPr>
        <w:t xml:space="preserve"> status club or rising in the hierarchy of </w:t>
      </w:r>
      <w:r w:rsidR="00AE72BE">
        <w:rPr>
          <w:rFonts w:ascii="Times New Roman" w:hAnsi="Times New Roman" w:cs="Times New Roman"/>
          <w:sz w:val="24"/>
        </w:rPr>
        <w:t>a high status</w:t>
      </w:r>
      <w:r>
        <w:rPr>
          <w:rFonts w:ascii="Times New Roman" w:hAnsi="Times New Roman" w:cs="Times New Roman"/>
          <w:sz w:val="24"/>
        </w:rPr>
        <w:t xml:space="preserve"> club requires </w:t>
      </w:r>
      <w:r w:rsidRPr="002E2CE6">
        <w:rPr>
          <w:rFonts w:ascii="Times New Roman" w:hAnsi="Times New Roman" w:cs="Times New Roman"/>
          <w:i/>
          <w:sz w:val="24"/>
        </w:rPr>
        <w:t xml:space="preserve">opportunity </w:t>
      </w:r>
      <w:r>
        <w:rPr>
          <w:rFonts w:ascii="Times New Roman" w:hAnsi="Times New Roman" w:cs="Times New Roman"/>
          <w:sz w:val="24"/>
        </w:rPr>
        <w:t xml:space="preserve">(capabilities) to do so, the </w:t>
      </w:r>
      <w:r w:rsidRPr="002E2CE6">
        <w:rPr>
          <w:rFonts w:ascii="Times New Roman" w:hAnsi="Times New Roman" w:cs="Times New Roman"/>
          <w:i/>
          <w:sz w:val="24"/>
        </w:rPr>
        <w:t>willingness</w:t>
      </w:r>
      <w:r>
        <w:rPr>
          <w:rFonts w:ascii="Times New Roman" w:hAnsi="Times New Roman" w:cs="Times New Roman"/>
          <w:sz w:val="24"/>
        </w:rPr>
        <w:t xml:space="preserve"> to do so (e.g., systematically engaging in global affairs), and the </w:t>
      </w:r>
      <w:r w:rsidRPr="002E2CE6">
        <w:rPr>
          <w:rFonts w:ascii="Times New Roman" w:hAnsi="Times New Roman" w:cs="Times New Roman"/>
          <w:i/>
          <w:sz w:val="24"/>
        </w:rPr>
        <w:t>ability</w:t>
      </w:r>
      <w:r w:rsidR="00A33A3C">
        <w:rPr>
          <w:rFonts w:ascii="Times New Roman" w:hAnsi="Times New Roman" w:cs="Times New Roman"/>
          <w:i/>
          <w:sz w:val="24"/>
        </w:rPr>
        <w:t>/competence</w:t>
      </w:r>
      <w:r>
        <w:rPr>
          <w:rFonts w:ascii="Times New Roman" w:hAnsi="Times New Roman" w:cs="Times New Roman"/>
          <w:sz w:val="24"/>
        </w:rPr>
        <w:t xml:space="preserve"> to successfully translate capabilities into a creative and effective strategy.</w:t>
      </w:r>
      <w:proofErr w:type="gramEnd"/>
      <w:r>
        <w:rPr>
          <w:rFonts w:ascii="Times New Roman" w:hAnsi="Times New Roman" w:cs="Times New Roman"/>
          <w:sz w:val="24"/>
        </w:rPr>
        <w:t xml:space="preserve"> The last of these requirements we call </w:t>
      </w:r>
      <w:r w:rsidRPr="002E2CE6">
        <w:rPr>
          <w:rFonts w:ascii="Times New Roman" w:hAnsi="Times New Roman" w:cs="Times New Roman"/>
          <w:i/>
          <w:sz w:val="24"/>
        </w:rPr>
        <w:t xml:space="preserve">governmental </w:t>
      </w:r>
      <w:r w:rsidR="002E2CE6">
        <w:rPr>
          <w:rFonts w:ascii="Times New Roman" w:hAnsi="Times New Roman" w:cs="Times New Roman"/>
          <w:i/>
          <w:sz w:val="24"/>
        </w:rPr>
        <w:t>effectiveness.</w:t>
      </w:r>
    </w:p>
    <w:p w14:paraId="7B7D405D" w14:textId="1805C240" w:rsidR="00546B94" w:rsidRDefault="00F0799F" w:rsidP="00D85A76">
      <w:pPr>
        <w:spacing w:line="480" w:lineRule="auto"/>
        <w:ind w:firstLine="720"/>
        <w:rPr>
          <w:rFonts w:ascii="Times New Roman" w:hAnsi="Times New Roman" w:cs="Times New Roman"/>
          <w:sz w:val="24"/>
        </w:rPr>
      </w:pPr>
      <w:r>
        <w:rPr>
          <w:rFonts w:ascii="Times New Roman" w:hAnsi="Times New Roman" w:cs="Times New Roman"/>
          <w:sz w:val="24"/>
        </w:rPr>
        <w:t>H</w:t>
      </w:r>
      <w:r w:rsidR="00546B94">
        <w:rPr>
          <w:rFonts w:ascii="Times New Roman" w:hAnsi="Times New Roman" w:cs="Times New Roman"/>
          <w:sz w:val="24"/>
        </w:rPr>
        <w:t xml:space="preserve">aving the capability to become a major power is insufficient without the willingness </w:t>
      </w:r>
      <w:r w:rsidR="00D85A76">
        <w:rPr>
          <w:rFonts w:ascii="Times New Roman" w:hAnsi="Times New Roman" w:cs="Times New Roman"/>
          <w:sz w:val="24"/>
        </w:rPr>
        <w:t xml:space="preserve">and the competence </w:t>
      </w:r>
      <w:r w:rsidR="00546B94">
        <w:rPr>
          <w:rFonts w:ascii="Times New Roman" w:hAnsi="Times New Roman" w:cs="Times New Roman"/>
          <w:sz w:val="24"/>
        </w:rPr>
        <w:t>to do so.  An</w:t>
      </w:r>
      <w:r w:rsidR="008A3F21">
        <w:rPr>
          <w:rFonts w:ascii="Times New Roman" w:hAnsi="Times New Roman" w:cs="Times New Roman"/>
          <w:sz w:val="24"/>
        </w:rPr>
        <w:t xml:space="preserve">d even if the willingness is there, the competence to do so may </w:t>
      </w:r>
      <w:r>
        <w:rPr>
          <w:rFonts w:ascii="Times New Roman" w:hAnsi="Times New Roman" w:cs="Times New Roman"/>
          <w:sz w:val="24"/>
        </w:rPr>
        <w:t xml:space="preserve">not be extensive. </w:t>
      </w:r>
      <w:r w:rsidR="008A3F21">
        <w:rPr>
          <w:rFonts w:ascii="Times New Roman" w:hAnsi="Times New Roman" w:cs="Times New Roman"/>
          <w:sz w:val="24"/>
        </w:rPr>
        <w:t xml:space="preserve">What do we mean by competence? We suggest that one critical part of the </w:t>
      </w:r>
      <w:r w:rsidR="008A3F21">
        <w:rPr>
          <w:rFonts w:ascii="Times New Roman" w:hAnsi="Times New Roman" w:cs="Times New Roman"/>
          <w:sz w:val="24"/>
        </w:rPr>
        <w:lastRenderedPageBreak/>
        <w:t xml:space="preserve">competence equation is the </w:t>
      </w:r>
      <w:r w:rsidR="002E2CE6">
        <w:rPr>
          <w:rFonts w:ascii="Times New Roman" w:hAnsi="Times New Roman" w:cs="Times New Roman"/>
          <w:sz w:val="24"/>
        </w:rPr>
        <w:t>effectiveness</w:t>
      </w:r>
      <w:r w:rsidR="008A3F21">
        <w:rPr>
          <w:rFonts w:ascii="Times New Roman" w:hAnsi="Times New Roman" w:cs="Times New Roman"/>
          <w:sz w:val="24"/>
        </w:rPr>
        <w:t xml:space="preserve"> with which policy makers can </w:t>
      </w:r>
      <w:r w:rsidR="00C34F17">
        <w:rPr>
          <w:rFonts w:ascii="Times New Roman" w:hAnsi="Times New Roman" w:cs="Times New Roman"/>
          <w:sz w:val="24"/>
        </w:rPr>
        <w:t xml:space="preserve">translate </w:t>
      </w:r>
      <w:r w:rsidR="008A3F21">
        <w:rPr>
          <w:rFonts w:ascii="Times New Roman" w:hAnsi="Times New Roman" w:cs="Times New Roman"/>
          <w:sz w:val="24"/>
        </w:rPr>
        <w:t>their capabilities into successful policy outcomes. On this dimension, the variation between states aspiring to enter the major power club and states already in the major power club is substantial. Figures</w:t>
      </w:r>
      <w:r w:rsidR="00C34F17">
        <w:rPr>
          <w:rFonts w:ascii="Times New Roman" w:hAnsi="Times New Roman" w:cs="Times New Roman"/>
          <w:sz w:val="24"/>
        </w:rPr>
        <w:t xml:space="preserve"> 6</w:t>
      </w:r>
      <w:r w:rsidR="00D85A76">
        <w:rPr>
          <w:rFonts w:ascii="Times New Roman" w:hAnsi="Times New Roman" w:cs="Times New Roman"/>
          <w:sz w:val="24"/>
        </w:rPr>
        <w:t xml:space="preserve"> (governmental effectiveness index)</w:t>
      </w:r>
      <w:r w:rsidR="00C34F17">
        <w:rPr>
          <w:rFonts w:ascii="Times New Roman" w:hAnsi="Times New Roman" w:cs="Times New Roman"/>
          <w:sz w:val="24"/>
        </w:rPr>
        <w:t xml:space="preserve"> and 7</w:t>
      </w:r>
      <w:r w:rsidR="00D85A76">
        <w:rPr>
          <w:rFonts w:ascii="Times New Roman" w:hAnsi="Times New Roman" w:cs="Times New Roman"/>
          <w:sz w:val="24"/>
        </w:rPr>
        <w:t xml:space="preserve"> (control of corruption index), based on the World Bank measures of governmental efficiency,</w:t>
      </w:r>
      <w:r w:rsidR="008A3F21">
        <w:rPr>
          <w:rFonts w:ascii="Times New Roman" w:hAnsi="Times New Roman" w:cs="Times New Roman"/>
          <w:sz w:val="24"/>
        </w:rPr>
        <w:t xml:space="preserve"> illustrate some of these differences. </w:t>
      </w:r>
    </w:p>
    <w:p w14:paraId="653248C1" w14:textId="6B9F4EAC" w:rsidR="00D85A76" w:rsidRDefault="00D85A76" w:rsidP="00FA6799">
      <w:pPr>
        <w:spacing w:line="480" w:lineRule="auto"/>
        <w:rPr>
          <w:rFonts w:ascii="Times New Roman" w:hAnsi="Times New Roman" w:cs="Times New Roman"/>
          <w:sz w:val="24"/>
        </w:rPr>
      </w:pPr>
      <w:r>
        <w:rPr>
          <w:noProof/>
        </w:rPr>
        <w:drawing>
          <wp:inline distT="0" distB="0" distL="0" distR="0" wp14:anchorId="7617A545" wp14:editId="0DE24D57">
            <wp:extent cx="5943600" cy="3164619"/>
            <wp:effectExtent l="0" t="0" r="0" b="171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0BDEBA" w14:textId="0AA35772" w:rsidR="0051459F" w:rsidRDefault="00C34F17" w:rsidP="00FA6799">
      <w:pPr>
        <w:spacing w:line="480" w:lineRule="auto"/>
        <w:rPr>
          <w:rFonts w:ascii="Times New Roman" w:hAnsi="Times New Roman" w:cs="Times New Roman"/>
          <w:sz w:val="24"/>
        </w:rPr>
      </w:pPr>
      <w:r>
        <w:rPr>
          <w:rFonts w:ascii="Times New Roman" w:hAnsi="Times New Roman" w:cs="Times New Roman"/>
          <w:sz w:val="24"/>
        </w:rPr>
        <w:tab/>
        <w:t>Figure 6</w:t>
      </w:r>
      <w:r w:rsidR="002E2CE6">
        <w:rPr>
          <w:rFonts w:ascii="Times New Roman" w:hAnsi="Times New Roman" w:cs="Times New Roman"/>
          <w:sz w:val="24"/>
        </w:rPr>
        <w:t xml:space="preserve"> compares the World Bank’s index of governmental effectiveness scores of states in the major power club with regional and “rising” powers designated in this project, and compares them with the most and le</w:t>
      </w:r>
      <w:r w:rsidR="00F8269E">
        <w:rPr>
          <w:rFonts w:ascii="Times New Roman" w:hAnsi="Times New Roman" w:cs="Times New Roman"/>
          <w:sz w:val="24"/>
        </w:rPr>
        <w:t>ast</w:t>
      </w:r>
      <w:r w:rsidR="002E2CE6">
        <w:rPr>
          <w:rFonts w:ascii="Times New Roman" w:hAnsi="Times New Roman" w:cs="Times New Roman"/>
          <w:sz w:val="24"/>
        </w:rPr>
        <w:t xml:space="preserve"> effective states. </w:t>
      </w:r>
      <w:r w:rsidR="00F0799F">
        <w:rPr>
          <w:rFonts w:ascii="Times New Roman" w:hAnsi="Times New Roman" w:cs="Times New Roman"/>
          <w:sz w:val="24"/>
        </w:rPr>
        <w:t xml:space="preserve">The data illustrate </w:t>
      </w:r>
      <w:r w:rsidR="002E2CE6">
        <w:rPr>
          <w:rFonts w:ascii="Times New Roman" w:hAnsi="Times New Roman" w:cs="Times New Roman"/>
          <w:sz w:val="24"/>
        </w:rPr>
        <w:t xml:space="preserve">quite a mixed picture here for “rising” powers. The good news </w:t>
      </w:r>
      <w:r w:rsidR="00E57ED2">
        <w:rPr>
          <w:rFonts w:ascii="Times New Roman" w:hAnsi="Times New Roman" w:cs="Times New Roman"/>
          <w:sz w:val="24"/>
        </w:rPr>
        <w:t>for</w:t>
      </w:r>
      <w:r w:rsidR="002E2CE6">
        <w:rPr>
          <w:rFonts w:ascii="Times New Roman" w:hAnsi="Times New Roman" w:cs="Times New Roman"/>
          <w:sz w:val="24"/>
        </w:rPr>
        <w:t xml:space="preserve"> Russia and China </w:t>
      </w:r>
      <w:r w:rsidR="00E57ED2">
        <w:rPr>
          <w:rFonts w:ascii="Times New Roman" w:hAnsi="Times New Roman" w:cs="Times New Roman"/>
          <w:sz w:val="24"/>
        </w:rPr>
        <w:t xml:space="preserve">is that they </w:t>
      </w:r>
      <w:r w:rsidR="002E2CE6">
        <w:rPr>
          <w:rFonts w:ascii="Times New Roman" w:hAnsi="Times New Roman" w:cs="Times New Roman"/>
          <w:sz w:val="24"/>
        </w:rPr>
        <w:t xml:space="preserve">are in the major power club despite negative rankings (Russia) or barely positive rankings (China) on the World Bank measure of governmental effectiveness. </w:t>
      </w:r>
      <w:r w:rsidR="000B4037">
        <w:rPr>
          <w:rFonts w:ascii="Times New Roman" w:hAnsi="Times New Roman" w:cs="Times New Roman"/>
          <w:sz w:val="24"/>
        </w:rPr>
        <w:t>That is, it is plausible to overcome effectiveness issues</w:t>
      </w:r>
      <w:r w:rsidR="0051459F">
        <w:rPr>
          <w:rFonts w:ascii="Times New Roman" w:hAnsi="Times New Roman" w:cs="Times New Roman"/>
          <w:sz w:val="24"/>
        </w:rPr>
        <w:t xml:space="preserve"> with either a dramatic expansion in military and/or economic capabilities, or global activism, but </w:t>
      </w:r>
      <w:r w:rsidR="0051459F">
        <w:rPr>
          <w:rFonts w:ascii="Times New Roman" w:hAnsi="Times New Roman" w:cs="Times New Roman"/>
          <w:sz w:val="24"/>
        </w:rPr>
        <w:lastRenderedPageBreak/>
        <w:t>the possible asymmetry between status aspirations and governmental effectiveness will make status acquisition far more costly and difficult for less efficient states.</w:t>
      </w:r>
    </w:p>
    <w:p w14:paraId="5F2C2791" w14:textId="4DB75FBE" w:rsidR="0051459F" w:rsidRDefault="0051459F" w:rsidP="0051459F">
      <w:pPr>
        <w:spacing w:line="480" w:lineRule="auto"/>
        <w:rPr>
          <w:rFonts w:ascii="Times New Roman" w:hAnsi="Times New Roman" w:cs="Times New Roman"/>
          <w:sz w:val="24"/>
        </w:rPr>
      </w:pPr>
      <w:r>
        <w:rPr>
          <w:noProof/>
        </w:rPr>
        <w:drawing>
          <wp:inline distT="0" distB="0" distL="0" distR="0" wp14:anchorId="0EE0D6B1" wp14:editId="66F8142E">
            <wp:extent cx="5943600" cy="3180080"/>
            <wp:effectExtent l="0" t="0" r="0" b="12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9A1438" w14:textId="6C2B9479" w:rsidR="00D85A76" w:rsidRDefault="0051459F" w:rsidP="0051459F">
      <w:pPr>
        <w:spacing w:line="480" w:lineRule="auto"/>
        <w:ind w:firstLine="720"/>
        <w:rPr>
          <w:rFonts w:ascii="Times New Roman" w:hAnsi="Times New Roman" w:cs="Times New Roman"/>
          <w:sz w:val="24"/>
        </w:rPr>
      </w:pPr>
      <w:r>
        <w:rPr>
          <w:rFonts w:ascii="Times New Roman" w:hAnsi="Times New Roman" w:cs="Times New Roman"/>
          <w:sz w:val="24"/>
        </w:rPr>
        <w:t xml:space="preserve">Figures 6 </w:t>
      </w:r>
      <w:r w:rsidR="007A147A">
        <w:rPr>
          <w:rFonts w:ascii="Times New Roman" w:hAnsi="Times New Roman" w:cs="Times New Roman"/>
          <w:sz w:val="24"/>
        </w:rPr>
        <w:t xml:space="preserve">and 7 </w:t>
      </w:r>
      <w:r w:rsidR="00D92336">
        <w:rPr>
          <w:rFonts w:ascii="Times New Roman" w:hAnsi="Times New Roman" w:cs="Times New Roman"/>
          <w:sz w:val="24"/>
        </w:rPr>
        <w:t xml:space="preserve">also </w:t>
      </w:r>
      <w:r w:rsidR="007A7AC3">
        <w:rPr>
          <w:rFonts w:ascii="Times New Roman" w:hAnsi="Times New Roman" w:cs="Times New Roman"/>
          <w:sz w:val="24"/>
        </w:rPr>
        <w:t>suggests</w:t>
      </w:r>
      <w:r w:rsidR="002E2CE6">
        <w:rPr>
          <w:rFonts w:ascii="Times New Roman" w:hAnsi="Times New Roman" w:cs="Times New Roman"/>
          <w:sz w:val="24"/>
        </w:rPr>
        <w:t xml:space="preserve"> that </w:t>
      </w:r>
      <w:r w:rsidR="007A147A">
        <w:rPr>
          <w:rFonts w:ascii="Times New Roman" w:hAnsi="Times New Roman" w:cs="Times New Roman"/>
          <w:sz w:val="24"/>
        </w:rPr>
        <w:t xml:space="preserve">it is plausible for states </w:t>
      </w:r>
      <w:r w:rsidR="002E2CE6">
        <w:rPr>
          <w:rFonts w:ascii="Times New Roman" w:hAnsi="Times New Roman" w:cs="Times New Roman"/>
          <w:sz w:val="24"/>
        </w:rPr>
        <w:t xml:space="preserve">(India, Brazil and South Africa) </w:t>
      </w:r>
      <w:r w:rsidR="007A147A">
        <w:rPr>
          <w:rFonts w:ascii="Times New Roman" w:hAnsi="Times New Roman" w:cs="Times New Roman"/>
          <w:sz w:val="24"/>
        </w:rPr>
        <w:t xml:space="preserve">to enter the regional power club without extensive </w:t>
      </w:r>
      <w:r w:rsidR="002E2CE6">
        <w:rPr>
          <w:rFonts w:ascii="Times New Roman" w:hAnsi="Times New Roman" w:cs="Times New Roman"/>
          <w:sz w:val="24"/>
        </w:rPr>
        <w:t xml:space="preserve">governmental effectiveness, but it is likely to be difficult </w:t>
      </w:r>
      <w:r w:rsidR="00E141EF">
        <w:rPr>
          <w:rFonts w:ascii="Times New Roman" w:hAnsi="Times New Roman" w:cs="Times New Roman"/>
          <w:sz w:val="24"/>
        </w:rPr>
        <w:t xml:space="preserve">for those still seeking such membership (Turkey, Iran) </w:t>
      </w:r>
      <w:r w:rsidR="002E2CE6">
        <w:rPr>
          <w:rFonts w:ascii="Times New Roman" w:hAnsi="Times New Roman" w:cs="Times New Roman"/>
          <w:sz w:val="24"/>
        </w:rPr>
        <w:t xml:space="preserve">without very </w:t>
      </w:r>
      <w:r w:rsidR="00D92336">
        <w:rPr>
          <w:rFonts w:ascii="Times New Roman" w:hAnsi="Times New Roman" w:cs="Times New Roman"/>
          <w:sz w:val="24"/>
        </w:rPr>
        <w:t>significant increases in their military and economic c</w:t>
      </w:r>
      <w:r w:rsidR="002E2CE6">
        <w:rPr>
          <w:rFonts w:ascii="Times New Roman" w:hAnsi="Times New Roman" w:cs="Times New Roman"/>
          <w:sz w:val="24"/>
        </w:rPr>
        <w:t xml:space="preserve">apabilities and without a very strong </w:t>
      </w:r>
      <w:r w:rsidR="007A147A">
        <w:rPr>
          <w:rFonts w:ascii="Times New Roman" w:hAnsi="Times New Roman" w:cs="Times New Roman"/>
          <w:sz w:val="24"/>
        </w:rPr>
        <w:t>leadership role</w:t>
      </w:r>
      <w:r w:rsidR="002E2CE6">
        <w:rPr>
          <w:rFonts w:ascii="Times New Roman" w:hAnsi="Times New Roman" w:cs="Times New Roman"/>
          <w:sz w:val="24"/>
        </w:rPr>
        <w:t xml:space="preserve"> in global </w:t>
      </w:r>
      <w:r w:rsidR="007A147A">
        <w:rPr>
          <w:rFonts w:ascii="Times New Roman" w:hAnsi="Times New Roman" w:cs="Times New Roman"/>
          <w:sz w:val="24"/>
        </w:rPr>
        <w:t xml:space="preserve">and regional </w:t>
      </w:r>
      <w:r w:rsidR="002E2CE6">
        <w:rPr>
          <w:rFonts w:ascii="Times New Roman" w:hAnsi="Times New Roman" w:cs="Times New Roman"/>
          <w:sz w:val="24"/>
        </w:rPr>
        <w:t>governance affairs.</w:t>
      </w:r>
      <w:r w:rsidR="00D92336">
        <w:rPr>
          <w:rStyle w:val="FootnoteReference"/>
          <w:rFonts w:ascii="Times New Roman" w:hAnsi="Times New Roman" w:cs="Times New Roman"/>
          <w:sz w:val="24"/>
        </w:rPr>
        <w:footnoteReference w:id="8"/>
      </w:r>
      <w:r w:rsidR="00E141EF">
        <w:rPr>
          <w:rFonts w:ascii="Times New Roman" w:hAnsi="Times New Roman" w:cs="Times New Roman"/>
          <w:sz w:val="24"/>
        </w:rPr>
        <w:t xml:space="preserve"> </w:t>
      </w:r>
      <w:r w:rsidR="002E2CE6">
        <w:rPr>
          <w:rFonts w:ascii="Times New Roman" w:hAnsi="Times New Roman" w:cs="Times New Roman"/>
          <w:sz w:val="24"/>
        </w:rPr>
        <w:t xml:space="preserve"> </w:t>
      </w:r>
    </w:p>
    <w:p w14:paraId="268CB9E9" w14:textId="5EEBC736" w:rsidR="00F8269E" w:rsidRDefault="00F8269E" w:rsidP="00FA6799">
      <w:pPr>
        <w:spacing w:line="480" w:lineRule="auto"/>
        <w:rPr>
          <w:rFonts w:ascii="Times New Roman" w:hAnsi="Times New Roman" w:cs="Times New Roman"/>
          <w:sz w:val="24"/>
        </w:rPr>
      </w:pPr>
      <w:r>
        <w:rPr>
          <w:rFonts w:ascii="Times New Roman" w:hAnsi="Times New Roman" w:cs="Times New Roman"/>
          <w:sz w:val="24"/>
        </w:rPr>
        <w:tab/>
      </w:r>
      <w:r w:rsidR="007A7AC3">
        <w:rPr>
          <w:rFonts w:ascii="Times New Roman" w:hAnsi="Times New Roman" w:cs="Times New Roman"/>
          <w:sz w:val="24"/>
        </w:rPr>
        <w:t xml:space="preserve">Overall, </w:t>
      </w:r>
      <w:r>
        <w:rPr>
          <w:rFonts w:ascii="Times New Roman" w:hAnsi="Times New Roman" w:cs="Times New Roman"/>
          <w:sz w:val="24"/>
        </w:rPr>
        <w:t xml:space="preserve">of the seven states considered </w:t>
      </w:r>
      <w:r w:rsidR="007A7AC3">
        <w:rPr>
          <w:rFonts w:ascii="Times New Roman" w:hAnsi="Times New Roman" w:cs="Times New Roman"/>
          <w:sz w:val="24"/>
        </w:rPr>
        <w:t xml:space="preserve">in this project to be </w:t>
      </w:r>
      <w:r>
        <w:rPr>
          <w:rFonts w:ascii="Times New Roman" w:hAnsi="Times New Roman" w:cs="Times New Roman"/>
          <w:sz w:val="24"/>
        </w:rPr>
        <w:t>“rising” powers, our perspective suggests a dive</w:t>
      </w:r>
      <w:r w:rsidR="00E141EF">
        <w:rPr>
          <w:rFonts w:ascii="Times New Roman" w:hAnsi="Times New Roman" w:cs="Times New Roman"/>
          <w:sz w:val="24"/>
        </w:rPr>
        <w:t>rse categorization (see Figure 8</w:t>
      </w:r>
      <w:r>
        <w:rPr>
          <w:rFonts w:ascii="Times New Roman" w:hAnsi="Times New Roman" w:cs="Times New Roman"/>
          <w:sz w:val="24"/>
        </w:rPr>
        <w:t xml:space="preserve">). </w:t>
      </w:r>
      <w:r w:rsidR="00E141EF">
        <w:rPr>
          <w:rFonts w:ascii="Times New Roman" w:hAnsi="Times New Roman" w:cs="Times New Roman"/>
          <w:sz w:val="24"/>
        </w:rPr>
        <w:t xml:space="preserve">Three of the seven states </w:t>
      </w:r>
      <w:r w:rsidR="0051459F">
        <w:rPr>
          <w:rFonts w:ascii="Times New Roman" w:hAnsi="Times New Roman" w:cs="Times New Roman"/>
          <w:sz w:val="24"/>
        </w:rPr>
        <w:t xml:space="preserve">(Brazil, India, and South Africa) </w:t>
      </w:r>
      <w:r w:rsidR="00E141EF">
        <w:rPr>
          <w:rFonts w:ascii="Times New Roman" w:hAnsi="Times New Roman" w:cs="Times New Roman"/>
          <w:sz w:val="24"/>
        </w:rPr>
        <w:t>have already arrived, at least as regional powers</w:t>
      </w:r>
      <w:r w:rsidR="007A147A">
        <w:rPr>
          <w:rFonts w:ascii="Times New Roman" w:hAnsi="Times New Roman" w:cs="Times New Roman"/>
          <w:sz w:val="24"/>
        </w:rPr>
        <w:t>,</w:t>
      </w:r>
      <w:r w:rsidR="00E141EF">
        <w:rPr>
          <w:rFonts w:ascii="Times New Roman" w:hAnsi="Times New Roman" w:cs="Times New Roman"/>
          <w:sz w:val="24"/>
        </w:rPr>
        <w:t xml:space="preserve"> while two </w:t>
      </w:r>
      <w:r w:rsidR="0051459F">
        <w:rPr>
          <w:rFonts w:ascii="Times New Roman" w:hAnsi="Times New Roman" w:cs="Times New Roman"/>
          <w:sz w:val="24"/>
        </w:rPr>
        <w:t xml:space="preserve">(China and </w:t>
      </w:r>
      <w:r w:rsidR="0051459F">
        <w:rPr>
          <w:rFonts w:ascii="Times New Roman" w:hAnsi="Times New Roman" w:cs="Times New Roman"/>
          <w:sz w:val="24"/>
        </w:rPr>
        <w:lastRenderedPageBreak/>
        <w:t xml:space="preserve">the Russian Federation) </w:t>
      </w:r>
      <w:r w:rsidR="00E141EF">
        <w:rPr>
          <w:rFonts w:ascii="Times New Roman" w:hAnsi="Times New Roman" w:cs="Times New Roman"/>
          <w:sz w:val="24"/>
        </w:rPr>
        <w:t>are already members of the more prestigious major power club. If lack of major power/regional power club membership is a shorthand for those that are still rising to achieve membership in either of these two status clubs, only Turkey and Iran would qualify as “rising powers”</w:t>
      </w:r>
      <w:r w:rsidR="00E57ED2">
        <w:rPr>
          <w:rFonts w:ascii="Times New Roman" w:hAnsi="Times New Roman" w:cs="Times New Roman"/>
          <w:sz w:val="24"/>
        </w:rPr>
        <w:t>, but with governmental effectiveness scores that suggest that they will struggle to enter either club cost-effectively</w:t>
      </w:r>
      <w:r w:rsidR="00E141EF">
        <w:rPr>
          <w:rFonts w:ascii="Times New Roman" w:hAnsi="Times New Roman" w:cs="Times New Roman"/>
          <w:sz w:val="24"/>
        </w:rPr>
        <w:t xml:space="preserve">. </w:t>
      </w:r>
    </w:p>
    <w:p w14:paraId="238A5E89" w14:textId="2E373E34" w:rsidR="00F8269E" w:rsidRPr="00BE22E0" w:rsidRDefault="00E141EF" w:rsidP="00FA6799">
      <w:pPr>
        <w:spacing w:line="480" w:lineRule="auto"/>
        <w:rPr>
          <w:rFonts w:ascii="Times New Roman" w:hAnsi="Times New Roman" w:cs="Times New Roman"/>
          <w:b/>
          <w:sz w:val="24"/>
        </w:rPr>
      </w:pPr>
      <w:r>
        <w:rPr>
          <w:rFonts w:ascii="Times New Roman" w:hAnsi="Times New Roman" w:cs="Times New Roman"/>
          <w:b/>
          <w:sz w:val="24"/>
        </w:rPr>
        <w:t>Figure 8</w:t>
      </w:r>
      <w:r w:rsidR="00F8269E" w:rsidRPr="00BE22E0">
        <w:rPr>
          <w:rFonts w:ascii="Times New Roman" w:hAnsi="Times New Roman" w:cs="Times New Roman"/>
          <w:b/>
          <w:sz w:val="24"/>
        </w:rPr>
        <w:t>. Reclassifying “Rising” Powers.</w:t>
      </w:r>
    </w:p>
    <w:p w14:paraId="0F2ED039" w14:textId="5F7AF4EA" w:rsidR="00F8269E" w:rsidRDefault="00F8269E" w:rsidP="00BE22E0">
      <w:pPr>
        <w:pStyle w:val="NoSpacing"/>
        <w:pBdr>
          <w:bottom w:val="single" w:sz="6" w:space="1" w:color="auto"/>
        </w:pBdr>
      </w:pPr>
      <w:r>
        <w:t>State</w:t>
      </w:r>
      <w:r>
        <w:tab/>
      </w:r>
      <w:r>
        <w:tab/>
      </w:r>
      <w:r>
        <w:tab/>
        <w:t>Club Membership</w:t>
      </w:r>
      <w:r>
        <w:tab/>
      </w:r>
      <w:r>
        <w:tab/>
      </w:r>
      <w:r>
        <w:tab/>
        <w:t>Trajectory</w:t>
      </w:r>
    </w:p>
    <w:p w14:paraId="0B1299DD" w14:textId="2779DD8D" w:rsidR="00F8269E" w:rsidRDefault="00F8269E" w:rsidP="00BE22E0">
      <w:pPr>
        <w:pStyle w:val="NoSpacing"/>
      </w:pPr>
      <w:r>
        <w:t>China</w:t>
      </w:r>
      <w:r>
        <w:tab/>
      </w:r>
      <w:r>
        <w:tab/>
      </w:r>
      <w:r>
        <w:tab/>
        <w:t>Major Power Club</w:t>
      </w:r>
      <w:r>
        <w:tab/>
      </w:r>
      <w:r>
        <w:tab/>
      </w:r>
      <w:r>
        <w:tab/>
        <w:t>Arrived</w:t>
      </w:r>
    </w:p>
    <w:p w14:paraId="350F921B" w14:textId="77777777" w:rsidR="00BE22E0" w:rsidRDefault="00BE22E0" w:rsidP="00BE22E0">
      <w:pPr>
        <w:pStyle w:val="NoSpacing"/>
      </w:pPr>
    </w:p>
    <w:p w14:paraId="0D81BDB8" w14:textId="59437C33" w:rsidR="00F8269E" w:rsidRDefault="00F8269E" w:rsidP="00BE22E0">
      <w:pPr>
        <w:pStyle w:val="NoSpacing"/>
      </w:pPr>
      <w:r>
        <w:t>Russian Fed.</w:t>
      </w:r>
      <w:r>
        <w:tab/>
      </w:r>
      <w:r>
        <w:tab/>
        <w:t>Major Power Club</w:t>
      </w:r>
      <w:r>
        <w:tab/>
      </w:r>
      <w:r>
        <w:tab/>
      </w:r>
      <w:r>
        <w:tab/>
      </w:r>
      <w:r w:rsidR="00BE22E0">
        <w:t>Declining in club’s hierarchy</w:t>
      </w:r>
    </w:p>
    <w:p w14:paraId="08DFFE41" w14:textId="77777777" w:rsidR="00BE22E0" w:rsidRDefault="00BE22E0" w:rsidP="00BE22E0">
      <w:pPr>
        <w:pStyle w:val="NoSpacing"/>
      </w:pPr>
    </w:p>
    <w:p w14:paraId="2BF4D98D" w14:textId="3164F38C" w:rsidR="00BE22E0" w:rsidRDefault="00BE22E0" w:rsidP="00BE22E0">
      <w:pPr>
        <w:pStyle w:val="NoSpacing"/>
      </w:pPr>
      <w:r>
        <w:t>Brazil</w:t>
      </w:r>
      <w:r>
        <w:tab/>
      </w:r>
      <w:r>
        <w:tab/>
      </w:r>
      <w:r>
        <w:tab/>
        <w:t>Regional Power Club</w:t>
      </w:r>
      <w:r>
        <w:tab/>
      </w:r>
      <w:r>
        <w:tab/>
      </w:r>
      <w:r>
        <w:tab/>
        <w:t>Arrived/seeking Major power club</w:t>
      </w:r>
    </w:p>
    <w:p w14:paraId="21B1E463" w14:textId="77777777" w:rsidR="00BE22E0" w:rsidRDefault="00BE22E0" w:rsidP="00BE22E0">
      <w:pPr>
        <w:pStyle w:val="NoSpacing"/>
      </w:pPr>
    </w:p>
    <w:p w14:paraId="21D0EFD1" w14:textId="1429C687" w:rsidR="00BE22E0" w:rsidRDefault="00BE22E0" w:rsidP="00BE22E0">
      <w:pPr>
        <w:pStyle w:val="NoSpacing"/>
      </w:pPr>
      <w:r>
        <w:t>India</w:t>
      </w:r>
      <w:r>
        <w:tab/>
      </w:r>
      <w:r>
        <w:tab/>
      </w:r>
      <w:r>
        <w:tab/>
        <w:t>Regional Power Club</w:t>
      </w:r>
      <w:r>
        <w:tab/>
      </w:r>
      <w:r>
        <w:tab/>
      </w:r>
      <w:r>
        <w:tab/>
        <w:t>Arrived/seeking Major power club</w:t>
      </w:r>
    </w:p>
    <w:p w14:paraId="756550D1" w14:textId="77777777" w:rsidR="00BE22E0" w:rsidRDefault="00BE22E0" w:rsidP="00BE22E0">
      <w:pPr>
        <w:pStyle w:val="NoSpacing"/>
      </w:pPr>
    </w:p>
    <w:p w14:paraId="1869AA75" w14:textId="40937E69" w:rsidR="00BE22E0" w:rsidRDefault="00BE22E0" w:rsidP="00BE22E0">
      <w:pPr>
        <w:pStyle w:val="NoSpacing"/>
      </w:pPr>
      <w:r>
        <w:t>South Africa</w:t>
      </w:r>
      <w:r>
        <w:tab/>
      </w:r>
      <w:r>
        <w:tab/>
        <w:t>Regional Power Club</w:t>
      </w:r>
      <w:r>
        <w:tab/>
      </w:r>
      <w:r>
        <w:tab/>
      </w:r>
      <w:r>
        <w:tab/>
        <w:t>Arrived</w:t>
      </w:r>
    </w:p>
    <w:p w14:paraId="355B301A" w14:textId="77777777" w:rsidR="00BE22E0" w:rsidRDefault="00BE22E0" w:rsidP="00BE22E0">
      <w:pPr>
        <w:pStyle w:val="NoSpacing"/>
      </w:pPr>
    </w:p>
    <w:p w14:paraId="473104B1" w14:textId="5CCE8C71" w:rsidR="00BE22E0" w:rsidRDefault="00BE22E0" w:rsidP="00BE22E0">
      <w:pPr>
        <w:pStyle w:val="NoSpacing"/>
      </w:pPr>
      <w:r>
        <w:t>Turkey</w:t>
      </w:r>
      <w:r>
        <w:tab/>
      </w:r>
      <w:r>
        <w:tab/>
      </w:r>
      <w:r>
        <w:tab/>
        <w:t>“Rising”</w:t>
      </w:r>
      <w:r>
        <w:tab/>
      </w:r>
      <w:r>
        <w:tab/>
      </w:r>
      <w:r>
        <w:tab/>
      </w:r>
      <w:r>
        <w:tab/>
      </w:r>
      <w:r>
        <w:tab/>
        <w:t>?</w:t>
      </w:r>
    </w:p>
    <w:p w14:paraId="703FDB57" w14:textId="77777777" w:rsidR="00BE22E0" w:rsidRDefault="00BE22E0" w:rsidP="00BE22E0">
      <w:pPr>
        <w:pStyle w:val="NoSpacing"/>
      </w:pPr>
    </w:p>
    <w:p w14:paraId="76867451" w14:textId="7AEEC45B" w:rsidR="00BE22E0" w:rsidRPr="00F8269E" w:rsidRDefault="00BE22E0" w:rsidP="00BE22E0">
      <w:pPr>
        <w:pStyle w:val="NoSpacing"/>
        <w:pBdr>
          <w:bottom w:val="single" w:sz="6" w:space="1" w:color="auto"/>
        </w:pBdr>
      </w:pPr>
      <w:r>
        <w:t>Iran</w:t>
      </w:r>
      <w:r>
        <w:tab/>
      </w:r>
      <w:r>
        <w:tab/>
      </w:r>
      <w:r>
        <w:tab/>
        <w:t>“Rising”</w:t>
      </w:r>
      <w:r>
        <w:tab/>
      </w:r>
      <w:r>
        <w:tab/>
      </w:r>
      <w:r>
        <w:tab/>
      </w:r>
      <w:r>
        <w:tab/>
      </w:r>
      <w:r>
        <w:tab/>
        <w:t>?</w:t>
      </w:r>
    </w:p>
    <w:p w14:paraId="65D012F2" w14:textId="431F82A3" w:rsidR="0051678C" w:rsidRDefault="0051678C" w:rsidP="00FA6799">
      <w:pPr>
        <w:spacing w:line="480" w:lineRule="auto"/>
        <w:rPr>
          <w:rFonts w:ascii="Times New Roman" w:hAnsi="Times New Roman" w:cs="Times New Roman"/>
          <w:sz w:val="24"/>
        </w:rPr>
      </w:pPr>
    </w:p>
    <w:p w14:paraId="7A7E8E7A" w14:textId="1ADDC36B" w:rsidR="0047535C" w:rsidRDefault="0047535C" w:rsidP="0047535C">
      <w:pPr>
        <w:spacing w:line="480" w:lineRule="auto"/>
        <w:ind w:firstLine="720"/>
        <w:rPr>
          <w:rFonts w:ascii="Times New Roman" w:hAnsi="Times New Roman" w:cs="Times New Roman"/>
          <w:sz w:val="24"/>
        </w:rPr>
      </w:pPr>
      <w:r>
        <w:rPr>
          <w:rFonts w:ascii="Times New Roman" w:hAnsi="Times New Roman" w:cs="Times New Roman"/>
          <w:sz w:val="24"/>
        </w:rPr>
        <w:t xml:space="preserve">If, however, we consider rising or falling within the hierarchy of club membership, then a more plausible case can be made for China and Russia </w:t>
      </w:r>
      <w:r w:rsidR="007F4E0B">
        <w:rPr>
          <w:rFonts w:ascii="Times New Roman" w:hAnsi="Times New Roman" w:cs="Times New Roman"/>
          <w:sz w:val="24"/>
        </w:rPr>
        <w:t>moving</w:t>
      </w:r>
      <w:r w:rsidR="00E57ED2">
        <w:rPr>
          <w:rFonts w:ascii="Times New Roman" w:hAnsi="Times New Roman" w:cs="Times New Roman"/>
          <w:sz w:val="24"/>
        </w:rPr>
        <w:t xml:space="preserve"> </w:t>
      </w:r>
      <w:r>
        <w:rPr>
          <w:rFonts w:ascii="Times New Roman" w:hAnsi="Times New Roman" w:cs="Times New Roman"/>
          <w:sz w:val="24"/>
        </w:rPr>
        <w:t>within the major power club</w:t>
      </w:r>
      <w:r w:rsidR="007F4E0B">
        <w:rPr>
          <w:rFonts w:ascii="Times New Roman" w:hAnsi="Times New Roman" w:cs="Times New Roman"/>
          <w:sz w:val="24"/>
        </w:rPr>
        <w:t xml:space="preserve"> hierarchy</w:t>
      </w:r>
      <w:r w:rsidR="007A147A">
        <w:rPr>
          <w:rFonts w:ascii="Times New Roman" w:hAnsi="Times New Roman" w:cs="Times New Roman"/>
          <w:sz w:val="24"/>
        </w:rPr>
        <w:t xml:space="preserve">, with the former seeking more status </w:t>
      </w:r>
      <w:r w:rsidR="007F4E0B">
        <w:rPr>
          <w:rFonts w:ascii="Times New Roman" w:hAnsi="Times New Roman" w:cs="Times New Roman"/>
          <w:sz w:val="24"/>
        </w:rPr>
        <w:t xml:space="preserve">to bring it closer to </w:t>
      </w:r>
      <w:r w:rsidR="007A147A">
        <w:rPr>
          <w:rFonts w:ascii="Times New Roman" w:hAnsi="Times New Roman" w:cs="Times New Roman"/>
          <w:sz w:val="24"/>
        </w:rPr>
        <w:t>the U.S. and the latter seeking to recoup its earlier positioning in the club. For Brazil, India, and South Africa</w:t>
      </w:r>
      <w:r>
        <w:rPr>
          <w:rFonts w:ascii="Times New Roman" w:hAnsi="Times New Roman" w:cs="Times New Roman"/>
          <w:sz w:val="24"/>
        </w:rPr>
        <w:t xml:space="preserve"> </w:t>
      </w:r>
      <w:r w:rsidR="00E57ED2">
        <w:rPr>
          <w:rFonts w:ascii="Times New Roman" w:hAnsi="Times New Roman" w:cs="Times New Roman"/>
          <w:sz w:val="24"/>
        </w:rPr>
        <w:t xml:space="preserve">“rising” </w:t>
      </w:r>
      <w:r w:rsidR="000E5656">
        <w:rPr>
          <w:rFonts w:ascii="Times New Roman" w:hAnsi="Times New Roman" w:cs="Times New Roman"/>
          <w:sz w:val="24"/>
        </w:rPr>
        <w:t>may denote instead</w:t>
      </w:r>
      <w:r>
        <w:rPr>
          <w:rFonts w:ascii="Times New Roman" w:hAnsi="Times New Roman" w:cs="Times New Roman"/>
          <w:sz w:val="24"/>
        </w:rPr>
        <w:t xml:space="preserve"> seeking to </w:t>
      </w:r>
      <w:r w:rsidR="000E5656">
        <w:rPr>
          <w:rFonts w:ascii="Times New Roman" w:hAnsi="Times New Roman" w:cs="Times New Roman"/>
          <w:sz w:val="24"/>
        </w:rPr>
        <w:t xml:space="preserve">change status clubs from regional to major power. For Turkey and Iran, “rising” may suggest attempts to become members of the regional power club. How policy makers in these seven states approach status seeking, given different status club memberships and different capability and status trajectories, should lead to differing consequences for status competition in international politics, as we discuss below. </w:t>
      </w:r>
      <w:r>
        <w:rPr>
          <w:rFonts w:ascii="Times New Roman" w:hAnsi="Times New Roman" w:cs="Times New Roman"/>
          <w:sz w:val="24"/>
        </w:rPr>
        <w:t xml:space="preserve"> </w:t>
      </w:r>
    </w:p>
    <w:p w14:paraId="7C512EBE" w14:textId="7FC4D73D" w:rsidR="0031252E" w:rsidRDefault="0031252E" w:rsidP="00FA6799">
      <w:pPr>
        <w:spacing w:line="480" w:lineRule="auto"/>
        <w:rPr>
          <w:rFonts w:ascii="Times New Roman" w:hAnsi="Times New Roman" w:cs="Times New Roman"/>
          <w:i/>
          <w:sz w:val="24"/>
        </w:rPr>
      </w:pPr>
      <w:r w:rsidRPr="0031252E">
        <w:rPr>
          <w:rFonts w:ascii="Times New Roman" w:hAnsi="Times New Roman" w:cs="Times New Roman"/>
          <w:i/>
          <w:sz w:val="24"/>
        </w:rPr>
        <w:lastRenderedPageBreak/>
        <w:t>When do States engage in Status Competition?</w:t>
      </w:r>
    </w:p>
    <w:p w14:paraId="5154BE9A" w14:textId="77777777" w:rsidR="000E5656" w:rsidRDefault="0031252E" w:rsidP="00FA6799">
      <w:pPr>
        <w:spacing w:line="480" w:lineRule="auto"/>
        <w:rPr>
          <w:rFonts w:ascii="Times New Roman" w:hAnsi="Times New Roman" w:cs="Times New Roman"/>
          <w:sz w:val="24"/>
        </w:rPr>
      </w:pPr>
      <w:r>
        <w:rPr>
          <w:rFonts w:ascii="Times New Roman" w:hAnsi="Times New Roman" w:cs="Times New Roman"/>
          <w:sz w:val="24"/>
        </w:rPr>
        <w:tab/>
        <w:t xml:space="preserve">The renewed emphasis </w:t>
      </w:r>
      <w:r w:rsidR="005861CD">
        <w:rPr>
          <w:rFonts w:ascii="Times New Roman" w:hAnsi="Times New Roman" w:cs="Times New Roman"/>
          <w:sz w:val="24"/>
        </w:rPr>
        <w:t>with</w:t>
      </w:r>
      <w:r>
        <w:rPr>
          <w:rFonts w:ascii="Times New Roman" w:hAnsi="Times New Roman" w:cs="Times New Roman"/>
          <w:sz w:val="24"/>
        </w:rPr>
        <w:t xml:space="preserve">in the international relations literature on status, status attribution, and status competition is a welcome trend. It is clear that states care about their status and </w:t>
      </w:r>
      <w:r w:rsidR="00D92336">
        <w:rPr>
          <w:rFonts w:ascii="Times New Roman" w:hAnsi="Times New Roman" w:cs="Times New Roman"/>
          <w:sz w:val="24"/>
        </w:rPr>
        <w:t xml:space="preserve">foreign </w:t>
      </w:r>
      <w:r>
        <w:rPr>
          <w:rFonts w:ascii="Times New Roman" w:hAnsi="Times New Roman" w:cs="Times New Roman"/>
          <w:sz w:val="24"/>
        </w:rPr>
        <w:t xml:space="preserve">policy makers perceive that high status attribution is salient for them, for both domestic political and foreign policy reasons. </w:t>
      </w:r>
      <w:r w:rsidR="00E161DA">
        <w:rPr>
          <w:rFonts w:ascii="Times New Roman" w:hAnsi="Times New Roman" w:cs="Times New Roman"/>
          <w:sz w:val="24"/>
        </w:rPr>
        <w:t xml:space="preserve">However, we raise </w:t>
      </w:r>
      <w:r w:rsidR="000E5656">
        <w:rPr>
          <w:rFonts w:ascii="Times New Roman" w:hAnsi="Times New Roman" w:cs="Times New Roman"/>
          <w:sz w:val="24"/>
        </w:rPr>
        <w:t>five</w:t>
      </w:r>
      <w:r w:rsidR="00C3211F">
        <w:rPr>
          <w:rFonts w:ascii="Times New Roman" w:hAnsi="Times New Roman" w:cs="Times New Roman"/>
          <w:sz w:val="24"/>
        </w:rPr>
        <w:t xml:space="preserve"> warnings about how </w:t>
      </w:r>
      <w:r w:rsidR="000E5656">
        <w:rPr>
          <w:rFonts w:ascii="Times New Roman" w:hAnsi="Times New Roman" w:cs="Times New Roman"/>
          <w:sz w:val="24"/>
        </w:rPr>
        <w:t>scholars</w:t>
      </w:r>
      <w:r w:rsidR="00C3211F">
        <w:rPr>
          <w:rFonts w:ascii="Times New Roman" w:hAnsi="Times New Roman" w:cs="Times New Roman"/>
          <w:sz w:val="24"/>
        </w:rPr>
        <w:t xml:space="preserve"> address status seeking and status competition.  </w:t>
      </w:r>
    </w:p>
    <w:p w14:paraId="568728EC" w14:textId="060BF492" w:rsidR="00BE2D8F" w:rsidRDefault="00C3211F" w:rsidP="000E5656">
      <w:pPr>
        <w:spacing w:line="480" w:lineRule="auto"/>
        <w:ind w:firstLine="720"/>
        <w:rPr>
          <w:rFonts w:ascii="Times New Roman" w:hAnsi="Times New Roman" w:cs="Times New Roman"/>
          <w:sz w:val="24"/>
        </w:rPr>
      </w:pPr>
      <w:r>
        <w:rPr>
          <w:rFonts w:ascii="Times New Roman" w:hAnsi="Times New Roman" w:cs="Times New Roman"/>
          <w:sz w:val="24"/>
        </w:rPr>
        <w:t xml:space="preserve">First, we suggest that </w:t>
      </w:r>
      <w:r w:rsidR="0031252E">
        <w:rPr>
          <w:rFonts w:ascii="Times New Roman" w:hAnsi="Times New Roman" w:cs="Times New Roman"/>
          <w:sz w:val="24"/>
        </w:rPr>
        <w:t xml:space="preserve">it is dangerous to conflate competition and conflict between states as driven </w:t>
      </w:r>
      <w:r w:rsidR="00A35B38">
        <w:rPr>
          <w:rFonts w:ascii="Times New Roman" w:hAnsi="Times New Roman" w:cs="Times New Roman"/>
          <w:sz w:val="24"/>
        </w:rPr>
        <w:t xml:space="preserve">exclusively or </w:t>
      </w:r>
      <w:r w:rsidR="0031252E">
        <w:rPr>
          <w:rFonts w:ascii="Times New Roman" w:hAnsi="Times New Roman" w:cs="Times New Roman"/>
          <w:sz w:val="24"/>
        </w:rPr>
        <w:t xml:space="preserve">primarily by status considerations. </w:t>
      </w:r>
      <w:r w:rsidR="00BE2D8F">
        <w:rPr>
          <w:rFonts w:ascii="Times New Roman" w:hAnsi="Times New Roman" w:cs="Times New Roman"/>
          <w:sz w:val="24"/>
        </w:rPr>
        <w:t xml:space="preserve">Policy makers’ desire to maintain or enhance their status may be a “fundamental state motivation” (Duque 2018: 1) but status concerns likely constitute a </w:t>
      </w:r>
      <w:r w:rsidR="0031252E">
        <w:rPr>
          <w:rFonts w:ascii="Times New Roman" w:hAnsi="Times New Roman" w:cs="Times New Roman"/>
          <w:sz w:val="24"/>
        </w:rPr>
        <w:t xml:space="preserve">variable </w:t>
      </w:r>
      <w:r w:rsidR="00BE2D8F">
        <w:rPr>
          <w:rFonts w:ascii="Times New Roman" w:hAnsi="Times New Roman" w:cs="Times New Roman"/>
          <w:sz w:val="24"/>
        </w:rPr>
        <w:t xml:space="preserve">condition </w:t>
      </w:r>
      <w:r w:rsidR="0031252E">
        <w:rPr>
          <w:rFonts w:ascii="Times New Roman" w:hAnsi="Times New Roman" w:cs="Times New Roman"/>
          <w:sz w:val="24"/>
        </w:rPr>
        <w:t xml:space="preserve">rather than a constant state of affairs for most states. If so, </w:t>
      </w:r>
      <w:r w:rsidR="00BE2D8F">
        <w:rPr>
          <w:rFonts w:ascii="Times New Roman" w:hAnsi="Times New Roman" w:cs="Times New Roman"/>
          <w:sz w:val="24"/>
        </w:rPr>
        <w:t xml:space="preserve">then </w:t>
      </w:r>
      <w:r w:rsidR="0031252E">
        <w:rPr>
          <w:rFonts w:ascii="Times New Roman" w:hAnsi="Times New Roman" w:cs="Times New Roman"/>
          <w:sz w:val="24"/>
        </w:rPr>
        <w:t xml:space="preserve">we need to specify conditions under which policy makers </w:t>
      </w:r>
      <w:r w:rsidR="00A35B38">
        <w:rPr>
          <w:rFonts w:ascii="Times New Roman" w:hAnsi="Times New Roman" w:cs="Times New Roman"/>
          <w:sz w:val="24"/>
        </w:rPr>
        <w:t xml:space="preserve">are motivated to engage in international politics as a function of their </w:t>
      </w:r>
      <w:r w:rsidR="0031252E">
        <w:rPr>
          <w:rFonts w:ascii="Times New Roman" w:hAnsi="Times New Roman" w:cs="Times New Roman"/>
          <w:sz w:val="24"/>
        </w:rPr>
        <w:t xml:space="preserve">need for greater status, </w:t>
      </w:r>
      <w:r w:rsidR="00BE2D8F">
        <w:rPr>
          <w:rFonts w:ascii="Times New Roman" w:hAnsi="Times New Roman" w:cs="Times New Roman"/>
          <w:sz w:val="24"/>
        </w:rPr>
        <w:t xml:space="preserve">or fear of </w:t>
      </w:r>
      <w:r w:rsidR="007F4E0B">
        <w:rPr>
          <w:rFonts w:ascii="Times New Roman" w:hAnsi="Times New Roman" w:cs="Times New Roman"/>
          <w:sz w:val="24"/>
        </w:rPr>
        <w:t xml:space="preserve">not being able to </w:t>
      </w:r>
      <w:r w:rsidR="00BE2D8F">
        <w:rPr>
          <w:rFonts w:ascii="Times New Roman" w:hAnsi="Times New Roman" w:cs="Times New Roman"/>
          <w:sz w:val="24"/>
        </w:rPr>
        <w:t>maintain the status they have.</w:t>
      </w:r>
      <w:r w:rsidR="00BE2D8F">
        <w:rPr>
          <w:rStyle w:val="FootnoteReference"/>
          <w:rFonts w:ascii="Times New Roman" w:hAnsi="Times New Roman" w:cs="Times New Roman"/>
          <w:sz w:val="24"/>
        </w:rPr>
        <w:footnoteReference w:id="9"/>
      </w:r>
      <w:r w:rsidR="00BE2D8F">
        <w:rPr>
          <w:rFonts w:ascii="Times New Roman" w:hAnsi="Times New Roman" w:cs="Times New Roman"/>
          <w:sz w:val="24"/>
        </w:rPr>
        <w:t xml:space="preserve"> </w:t>
      </w:r>
      <w:r w:rsidR="00750970">
        <w:rPr>
          <w:rFonts w:ascii="Times New Roman" w:hAnsi="Times New Roman" w:cs="Times New Roman"/>
          <w:sz w:val="24"/>
        </w:rPr>
        <w:t xml:space="preserve">It is a distorting academic exercise to assume that almost all foreign policy activity is motivated by status considerations, any more than solely </w:t>
      </w:r>
      <w:r w:rsidR="009852DF">
        <w:rPr>
          <w:rFonts w:ascii="Times New Roman" w:hAnsi="Times New Roman" w:cs="Times New Roman"/>
          <w:sz w:val="24"/>
        </w:rPr>
        <w:t xml:space="preserve">by </w:t>
      </w:r>
      <w:r w:rsidR="00750970">
        <w:rPr>
          <w:rFonts w:ascii="Times New Roman" w:hAnsi="Times New Roman" w:cs="Times New Roman"/>
          <w:sz w:val="24"/>
        </w:rPr>
        <w:t>security concerns or domestic political advantages. Sometimes the desire to acquire a naval carrier is based on perceived security needs rather than the need to</w:t>
      </w:r>
      <w:r w:rsidR="009852DF">
        <w:rPr>
          <w:rFonts w:ascii="Times New Roman" w:hAnsi="Times New Roman" w:cs="Times New Roman"/>
          <w:sz w:val="24"/>
        </w:rPr>
        <w:t xml:space="preserve"> </w:t>
      </w:r>
      <w:r w:rsidR="00750970">
        <w:rPr>
          <w:rFonts w:ascii="Times New Roman" w:hAnsi="Times New Roman" w:cs="Times New Roman"/>
          <w:sz w:val="24"/>
        </w:rPr>
        <w:t>acquire a “status toy</w:t>
      </w:r>
      <w:r w:rsidR="009B0306">
        <w:rPr>
          <w:rFonts w:ascii="Times New Roman" w:hAnsi="Times New Roman" w:cs="Times New Roman"/>
          <w:sz w:val="24"/>
        </w:rPr>
        <w:t>.</w:t>
      </w:r>
      <w:r w:rsidR="00750970">
        <w:rPr>
          <w:rFonts w:ascii="Times New Roman" w:hAnsi="Times New Roman" w:cs="Times New Roman"/>
          <w:sz w:val="24"/>
        </w:rPr>
        <w:t>”</w:t>
      </w:r>
      <w:r w:rsidR="009B0306">
        <w:rPr>
          <w:rFonts w:ascii="Times New Roman" w:hAnsi="Times New Roman" w:cs="Times New Roman"/>
          <w:sz w:val="24"/>
        </w:rPr>
        <w:t xml:space="preserve"> </w:t>
      </w:r>
    </w:p>
    <w:p w14:paraId="24962E3D" w14:textId="77777777" w:rsidR="00306E8D" w:rsidRDefault="00306E8D" w:rsidP="00FA6799">
      <w:pPr>
        <w:spacing w:line="480" w:lineRule="auto"/>
        <w:rPr>
          <w:rFonts w:ascii="Times New Roman" w:hAnsi="Times New Roman" w:cs="Times New Roman"/>
          <w:b/>
          <w:sz w:val="24"/>
        </w:rPr>
      </w:pPr>
    </w:p>
    <w:p w14:paraId="51D9C80F" w14:textId="77777777" w:rsidR="00306E8D" w:rsidRDefault="00306E8D" w:rsidP="00FA6799">
      <w:pPr>
        <w:spacing w:line="480" w:lineRule="auto"/>
        <w:rPr>
          <w:rFonts w:ascii="Times New Roman" w:hAnsi="Times New Roman" w:cs="Times New Roman"/>
          <w:b/>
          <w:sz w:val="24"/>
        </w:rPr>
      </w:pPr>
    </w:p>
    <w:p w14:paraId="3B2F6BC1" w14:textId="77777777" w:rsidR="00306E8D" w:rsidRDefault="00306E8D" w:rsidP="00FA6799">
      <w:pPr>
        <w:spacing w:line="480" w:lineRule="auto"/>
        <w:rPr>
          <w:rFonts w:ascii="Times New Roman" w:hAnsi="Times New Roman" w:cs="Times New Roman"/>
          <w:b/>
          <w:sz w:val="24"/>
        </w:rPr>
      </w:pPr>
    </w:p>
    <w:p w14:paraId="41A05FAC" w14:textId="23742EAD" w:rsidR="00706B00" w:rsidRPr="00BE22E0" w:rsidRDefault="00706B00" w:rsidP="00FA6799">
      <w:pPr>
        <w:spacing w:line="480" w:lineRule="auto"/>
        <w:rPr>
          <w:rFonts w:ascii="Times New Roman" w:hAnsi="Times New Roman" w:cs="Times New Roman"/>
          <w:b/>
          <w:sz w:val="24"/>
        </w:rPr>
      </w:pPr>
      <w:r w:rsidRPr="00BE22E0">
        <w:rPr>
          <w:rFonts w:ascii="Times New Roman" w:hAnsi="Times New Roman" w:cs="Times New Roman"/>
          <w:b/>
          <w:sz w:val="24"/>
        </w:rPr>
        <w:lastRenderedPageBreak/>
        <w:t xml:space="preserve">Figure </w:t>
      </w:r>
      <w:r w:rsidR="009852DF">
        <w:rPr>
          <w:rFonts w:ascii="Times New Roman" w:hAnsi="Times New Roman" w:cs="Times New Roman"/>
          <w:b/>
          <w:sz w:val="24"/>
        </w:rPr>
        <w:t>9</w:t>
      </w:r>
      <w:r w:rsidRPr="00BE22E0">
        <w:rPr>
          <w:rFonts w:ascii="Times New Roman" w:hAnsi="Times New Roman" w:cs="Times New Roman"/>
          <w:b/>
          <w:sz w:val="24"/>
        </w:rPr>
        <w:t>.  Status Seeking Considerations</w:t>
      </w:r>
      <w:r w:rsidR="00C05309" w:rsidRPr="00BE22E0">
        <w:rPr>
          <w:rFonts w:ascii="Times New Roman" w:hAnsi="Times New Roman" w:cs="Times New Roman"/>
          <w:b/>
          <w:sz w:val="24"/>
        </w:rPr>
        <w:t>.</w:t>
      </w:r>
    </w:p>
    <w:p w14:paraId="035EFF47" w14:textId="1D1B46CA" w:rsidR="00706B00" w:rsidRPr="00C05309" w:rsidRDefault="00C05309" w:rsidP="00C05309">
      <w:pPr>
        <w:pStyle w:val="NoSpacing"/>
        <w:rPr>
          <w:b/>
          <w:i/>
        </w:rPr>
      </w:pPr>
      <w:r>
        <w:rPr>
          <w:noProof/>
        </w:rPr>
        <mc:AlternateContent>
          <mc:Choice Requires="wps">
            <w:drawing>
              <wp:anchor distT="0" distB="0" distL="114300" distR="114300" simplePos="0" relativeHeight="251661312" behindDoc="0" locked="0" layoutInCell="1" allowOverlap="1" wp14:anchorId="3A77758C" wp14:editId="203ABB48">
                <wp:simplePos x="0" y="0"/>
                <wp:positionH relativeFrom="column">
                  <wp:posOffset>3460750</wp:posOffset>
                </wp:positionH>
                <wp:positionV relativeFrom="paragraph">
                  <wp:posOffset>123190</wp:posOffset>
                </wp:positionV>
                <wp:extent cx="114300" cy="1524000"/>
                <wp:effectExtent l="76200" t="0" r="19050" b="57150"/>
                <wp:wrapNone/>
                <wp:docPr id="8" name="Straight Arrow Connector 8"/>
                <wp:cNvGraphicFramePr/>
                <a:graphic xmlns:a="http://schemas.openxmlformats.org/drawingml/2006/main">
                  <a:graphicData uri="http://schemas.microsoft.com/office/word/2010/wordprocessingShape">
                    <wps:wsp>
                      <wps:cNvCnPr/>
                      <wps:spPr>
                        <a:xfrm flipH="1">
                          <a:off x="0" y="0"/>
                          <a:ext cx="114300" cy="152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AE1CA8" id="_x0000_t32" coordsize="21600,21600" o:spt="32" o:oned="t" path="m,l21600,21600e" filled="f">
                <v:path arrowok="t" fillok="f" o:connecttype="none"/>
                <o:lock v:ext="edit" shapetype="t"/>
              </v:shapetype>
              <v:shape id="Straight Arrow Connector 8" o:spid="_x0000_s1026" type="#_x0000_t32" style="position:absolute;margin-left:272.5pt;margin-top:9.7pt;width:9pt;height:120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" strokecolor="#4472c4 [3204]" strokeweight=".5pt">
                <v:stroke endarrow="block" joinstyle="miter"/>
              </v:shape>
            </w:pict>
          </mc:Fallback>
        </mc:AlternateContent>
      </w:r>
      <w:r w:rsidR="00706B00">
        <w:tab/>
      </w:r>
      <w:r w:rsidR="00706B00">
        <w:tab/>
      </w:r>
      <w:r w:rsidR="00706B00">
        <w:tab/>
      </w:r>
      <w:r w:rsidR="00706B00">
        <w:tab/>
      </w:r>
      <w:r w:rsidR="00706B00">
        <w:tab/>
      </w:r>
      <w:r w:rsidR="00706B00">
        <w:tab/>
      </w:r>
      <w:r w:rsidR="00706B00" w:rsidRPr="00C05309">
        <w:rPr>
          <w:b/>
          <w:i/>
        </w:rPr>
        <w:t>Global Context</w:t>
      </w:r>
    </w:p>
    <w:p w14:paraId="6E1A70C2" w14:textId="2795C0C7" w:rsidR="00706B00" w:rsidRDefault="00706B00" w:rsidP="00C05309">
      <w:pPr>
        <w:pStyle w:val="NoSpacing"/>
      </w:pPr>
      <w:r>
        <w:tab/>
      </w:r>
      <w:r>
        <w:tab/>
      </w:r>
      <w:r>
        <w:tab/>
      </w:r>
      <w:r>
        <w:tab/>
      </w:r>
      <w:r>
        <w:tab/>
      </w:r>
      <w:r>
        <w:tab/>
      </w:r>
      <w:r w:rsidR="00C05309">
        <w:t xml:space="preserve">   </w:t>
      </w:r>
      <w:r>
        <w:t>Global Power Distributions</w:t>
      </w:r>
    </w:p>
    <w:p w14:paraId="252942B1" w14:textId="5EA79F06" w:rsidR="00706B00" w:rsidRDefault="00706B00" w:rsidP="00C05309">
      <w:pPr>
        <w:pStyle w:val="NoSpacing"/>
      </w:pPr>
      <w:r>
        <w:tab/>
      </w:r>
      <w:r>
        <w:tab/>
      </w:r>
      <w:r>
        <w:tab/>
      </w:r>
      <w:r>
        <w:tab/>
      </w:r>
      <w:r>
        <w:tab/>
      </w:r>
      <w:r>
        <w:tab/>
      </w:r>
      <w:r w:rsidR="00C05309">
        <w:t xml:space="preserve">   </w:t>
      </w:r>
      <w:r>
        <w:t>Systemic Polarization</w:t>
      </w:r>
    </w:p>
    <w:p w14:paraId="441FB65F" w14:textId="679F70A1" w:rsidR="00C05309" w:rsidRPr="00C05309" w:rsidRDefault="00C05309" w:rsidP="00C05309">
      <w:pPr>
        <w:pStyle w:val="NoSpacing"/>
        <w:rPr>
          <w:b/>
          <w:i/>
        </w:rPr>
      </w:pPr>
      <w:r w:rsidRPr="00C05309">
        <w:rPr>
          <w:b/>
          <w:i/>
        </w:rPr>
        <w:t>Potential Status Seeker</w:t>
      </w:r>
    </w:p>
    <w:p w14:paraId="6AB0D03D" w14:textId="6313A35A" w:rsidR="00C05309" w:rsidRDefault="009852DF" w:rsidP="00C05309">
      <w:pPr>
        <w:pStyle w:val="NoSpacing"/>
      </w:pPr>
      <w:r>
        <w:tab/>
      </w:r>
      <w:r>
        <w:tab/>
        <w:t>Extant Status Position</w:t>
      </w:r>
    </w:p>
    <w:p w14:paraId="38239981" w14:textId="0A21ED31" w:rsidR="00C05309" w:rsidRDefault="009852DF" w:rsidP="00C05309">
      <w:pPr>
        <w:pStyle w:val="NoSpacing"/>
      </w:pPr>
      <w:r>
        <w:rPr>
          <w:noProof/>
        </w:rPr>
        <mc:AlternateContent>
          <mc:Choice Requires="wps">
            <w:drawing>
              <wp:anchor distT="0" distB="0" distL="114300" distR="114300" simplePos="0" relativeHeight="251668480" behindDoc="0" locked="0" layoutInCell="1" allowOverlap="1" wp14:anchorId="5295216E" wp14:editId="11ABBD50">
                <wp:simplePos x="0" y="0"/>
                <wp:positionH relativeFrom="column">
                  <wp:posOffset>1121134</wp:posOffset>
                </wp:positionH>
                <wp:positionV relativeFrom="paragraph">
                  <wp:posOffset>13197</wp:posOffset>
                </wp:positionV>
                <wp:extent cx="326003" cy="302150"/>
                <wp:effectExtent l="38100" t="0" r="17145" b="60325"/>
                <wp:wrapNone/>
                <wp:docPr id="22" name="Straight Arrow Connector 22"/>
                <wp:cNvGraphicFramePr/>
                <a:graphic xmlns:a="http://schemas.openxmlformats.org/drawingml/2006/main">
                  <a:graphicData uri="http://schemas.microsoft.com/office/word/2010/wordprocessingShape">
                    <wps:wsp>
                      <wps:cNvCnPr/>
                      <wps:spPr>
                        <a:xfrm flipH="1">
                          <a:off x="0" y="0"/>
                          <a:ext cx="326003" cy="302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5F6BA3" id="_x0000_t32" coordsize="21600,21600" o:spt="32" o:oned="t" path="m,l21600,21600e" filled="f">
                <v:path arrowok="t" fillok="f" o:connecttype="none"/>
                <o:lock v:ext="edit" shapetype="t"/>
              </v:shapetype>
              <v:shape id="Straight Arrow Connector 22" o:spid="_x0000_s1026" type="#_x0000_t32" style="position:absolute;margin-left:88.3pt;margin-top:1.05pt;width:25.65pt;height:23.8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" strokecolor="#4472c4 [3204]" strokeweight=".5pt">
                <v:stroke endarrow="block" joinstyle="miter"/>
              </v:shape>
            </w:pict>
          </mc:Fallback>
        </mc:AlternateContent>
      </w:r>
      <w:r w:rsidR="00C05309">
        <w:rPr>
          <w:noProof/>
        </w:rPr>
        <mc:AlternateContent>
          <mc:Choice Requires="wps">
            <w:drawing>
              <wp:anchor distT="0" distB="0" distL="114300" distR="114300" simplePos="0" relativeHeight="251660288" behindDoc="0" locked="0" layoutInCell="1" allowOverlap="1" wp14:anchorId="39808E47" wp14:editId="54F9A03D">
                <wp:simplePos x="0" y="0"/>
                <wp:positionH relativeFrom="column">
                  <wp:posOffset>1168400</wp:posOffset>
                </wp:positionH>
                <wp:positionV relativeFrom="paragraph">
                  <wp:posOffset>166370</wp:posOffset>
                </wp:positionV>
                <wp:extent cx="1041400" cy="342900"/>
                <wp:effectExtent l="38100" t="0" r="25400" b="76200"/>
                <wp:wrapNone/>
                <wp:docPr id="7" name="Straight Arrow Connector 7"/>
                <wp:cNvGraphicFramePr/>
                <a:graphic xmlns:a="http://schemas.openxmlformats.org/drawingml/2006/main">
                  <a:graphicData uri="http://schemas.microsoft.com/office/word/2010/wordprocessingShape">
                    <wps:wsp>
                      <wps:cNvCnPr/>
                      <wps:spPr>
                        <a:xfrm flipH="1">
                          <a:off x="0" y="0"/>
                          <a:ext cx="104140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0B952B" id="Straight Arrow Connector 7" o:spid="_x0000_s1026" type="#_x0000_t32" style="position:absolute;margin-left:92pt;margin-top:13.1pt;width:82pt;height:2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" strokecolor="#4472c4 [3204]" strokeweight=".5pt">
                <v:stroke endarrow="block" joinstyle="miter"/>
              </v:shape>
            </w:pict>
          </mc:Fallback>
        </mc:AlternateContent>
      </w:r>
      <w:r w:rsidR="00C05309">
        <w:rPr>
          <w:noProof/>
        </w:rPr>
        <mc:AlternateContent>
          <mc:Choice Requires="wps">
            <w:drawing>
              <wp:anchor distT="0" distB="0" distL="114300" distR="114300" simplePos="0" relativeHeight="251659264" behindDoc="0" locked="0" layoutInCell="1" allowOverlap="1" wp14:anchorId="1AA5D81B" wp14:editId="6F753E38">
                <wp:simplePos x="0" y="0"/>
                <wp:positionH relativeFrom="column">
                  <wp:posOffset>482600</wp:posOffset>
                </wp:positionH>
                <wp:positionV relativeFrom="paragraph">
                  <wp:posOffset>147320</wp:posOffset>
                </wp:positionV>
                <wp:extent cx="317500" cy="241300"/>
                <wp:effectExtent l="0" t="0" r="82550" b="63500"/>
                <wp:wrapNone/>
                <wp:docPr id="3" name="Straight Arrow Connector 3"/>
                <wp:cNvGraphicFramePr/>
                <a:graphic xmlns:a="http://schemas.openxmlformats.org/drawingml/2006/main">
                  <a:graphicData uri="http://schemas.microsoft.com/office/word/2010/wordprocessingShape">
                    <wps:wsp>
                      <wps:cNvCnPr/>
                      <wps:spPr>
                        <a:xfrm>
                          <a:off x="0" y="0"/>
                          <a:ext cx="317500" cy="241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82D3A5" id="Straight Arrow Connector 3" o:spid="_x0000_s1026" type="#_x0000_t32" style="position:absolute;margin-left:38pt;margin-top:11.6pt;width:25pt;height:1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" strokecolor="#4472c4 [3204]" strokeweight=".5pt">
                <v:stroke endarrow="block" joinstyle="miter"/>
              </v:shape>
            </w:pict>
          </mc:Fallback>
        </mc:AlternateContent>
      </w:r>
      <w:r w:rsidR="00C05309">
        <w:t xml:space="preserve">   Capabilities</w:t>
      </w:r>
      <w:r w:rsidR="00C05309">
        <w:tab/>
      </w:r>
      <w:r w:rsidR="00C05309">
        <w:tab/>
      </w:r>
      <w:r w:rsidR="00C05309">
        <w:tab/>
      </w:r>
      <w:r w:rsidR="00C05309">
        <w:tab/>
        <w:t>Status Trigger(s)</w:t>
      </w:r>
    </w:p>
    <w:p w14:paraId="00526ED4" w14:textId="7572644C" w:rsidR="00C05309" w:rsidRDefault="00C05309" w:rsidP="00C05309">
      <w:pPr>
        <w:pStyle w:val="NoSpacing"/>
      </w:pPr>
    </w:p>
    <w:p w14:paraId="407EBB09" w14:textId="75661B0E" w:rsidR="00C05309" w:rsidRDefault="00C05309" w:rsidP="00C05309">
      <w:pPr>
        <w:pStyle w:val="NoSpacing"/>
      </w:pPr>
      <w:r>
        <w:tab/>
        <w:t>Willingness</w:t>
      </w:r>
    </w:p>
    <w:p w14:paraId="6928D661" w14:textId="613DF200" w:rsidR="00C05309" w:rsidRDefault="00C05309" w:rsidP="00C05309">
      <w:pPr>
        <w:pStyle w:val="NoSpacing"/>
      </w:pPr>
      <w:r>
        <w:rPr>
          <w:noProof/>
        </w:rPr>
        <mc:AlternateContent>
          <mc:Choice Requires="wps">
            <w:drawing>
              <wp:anchor distT="0" distB="0" distL="114300" distR="114300" simplePos="0" relativeHeight="251662336" behindDoc="0" locked="0" layoutInCell="1" allowOverlap="1" wp14:anchorId="2079E662" wp14:editId="69B854B2">
                <wp:simplePos x="0" y="0"/>
                <wp:positionH relativeFrom="column">
                  <wp:posOffset>971550</wp:posOffset>
                </wp:positionH>
                <wp:positionV relativeFrom="paragraph">
                  <wp:posOffset>124460</wp:posOffset>
                </wp:positionV>
                <wp:extent cx="1225550" cy="285750"/>
                <wp:effectExtent l="0" t="0" r="69850" b="76200"/>
                <wp:wrapNone/>
                <wp:docPr id="9" name="Straight Arrow Connector 9"/>
                <wp:cNvGraphicFramePr/>
                <a:graphic xmlns:a="http://schemas.openxmlformats.org/drawingml/2006/main">
                  <a:graphicData uri="http://schemas.microsoft.com/office/word/2010/wordprocessingShape">
                    <wps:wsp>
                      <wps:cNvCnPr/>
                      <wps:spPr>
                        <a:xfrm>
                          <a:off x="0" y="0"/>
                          <a:ext cx="122555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DB761C" id="Straight Arrow Connector 9" o:spid="_x0000_s1026" type="#_x0000_t32" style="position:absolute;margin-left:76.5pt;margin-top:9.8pt;width:96.5pt;height:2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" strokecolor="#4472c4 [3204]" strokeweight=".5pt">
                <v:stroke endarrow="block" joinstyle="miter"/>
              </v:shape>
            </w:pict>
          </mc:Fallback>
        </mc:AlternateContent>
      </w:r>
      <w:r>
        <w:tab/>
      </w:r>
      <w:r>
        <w:tab/>
      </w:r>
      <w:r>
        <w:tab/>
      </w:r>
      <w:r>
        <w:tab/>
      </w:r>
    </w:p>
    <w:p w14:paraId="112E1DE7" w14:textId="313DF2AC" w:rsidR="00C05309" w:rsidRDefault="00C05309" w:rsidP="00C05309">
      <w:pPr>
        <w:pStyle w:val="NoSpacing"/>
      </w:pPr>
    </w:p>
    <w:p w14:paraId="30937C77" w14:textId="0FAC8931" w:rsidR="00C05309" w:rsidRDefault="00C05309" w:rsidP="00C05309">
      <w:pPr>
        <w:pStyle w:val="NoSpacing"/>
      </w:pPr>
      <w:r>
        <w:rPr>
          <w:noProof/>
        </w:rPr>
        <mc:AlternateContent>
          <mc:Choice Requires="wps">
            <w:drawing>
              <wp:anchor distT="0" distB="0" distL="114300" distR="114300" simplePos="0" relativeHeight="251664384" behindDoc="0" locked="0" layoutInCell="1" allowOverlap="1" wp14:anchorId="6917DDFC" wp14:editId="12EBDE31">
                <wp:simplePos x="0" y="0"/>
                <wp:positionH relativeFrom="column">
                  <wp:posOffset>3810000</wp:posOffset>
                </wp:positionH>
                <wp:positionV relativeFrom="paragraph">
                  <wp:posOffset>94615</wp:posOffset>
                </wp:positionV>
                <wp:extent cx="368300" cy="228600"/>
                <wp:effectExtent l="0" t="0" r="69850" b="57150"/>
                <wp:wrapNone/>
                <wp:docPr id="11" name="Straight Arrow Connector 11"/>
                <wp:cNvGraphicFramePr/>
                <a:graphic xmlns:a="http://schemas.openxmlformats.org/drawingml/2006/main">
                  <a:graphicData uri="http://schemas.microsoft.com/office/word/2010/wordprocessingShape">
                    <wps:wsp>
                      <wps:cNvCnPr/>
                      <wps:spPr>
                        <a:xfrm>
                          <a:off x="0" y="0"/>
                          <a:ext cx="36830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D7B594" id="Straight Arrow Connector 11" o:spid="_x0000_s1026" type="#_x0000_t32" style="position:absolute;margin-left:300pt;margin-top:7.45pt;width:29pt;height:1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" strokecolor="#4472c4 [3204]" strokeweight=".5pt">
                <v:stroke endarrow="block" joinstyle="miter"/>
              </v:shape>
            </w:pict>
          </mc:Fallback>
        </mc:AlternateContent>
      </w:r>
      <w:r>
        <w:tab/>
      </w:r>
      <w:r>
        <w:tab/>
      </w:r>
      <w:r>
        <w:tab/>
      </w:r>
      <w:r>
        <w:tab/>
      </w:r>
      <w:r>
        <w:tab/>
        <w:t>Status Seeking Strategies</w:t>
      </w:r>
    </w:p>
    <w:p w14:paraId="0CB9633E" w14:textId="2A58AB55" w:rsidR="00C05309" w:rsidRDefault="00C05309" w:rsidP="00C05309">
      <w:pPr>
        <w:pStyle w:val="NoSpacing"/>
      </w:pPr>
      <w:r>
        <w:rPr>
          <w:noProof/>
        </w:rPr>
        <mc:AlternateContent>
          <mc:Choice Requires="wps">
            <w:drawing>
              <wp:anchor distT="0" distB="0" distL="114300" distR="114300" simplePos="0" relativeHeight="251663360" behindDoc="0" locked="0" layoutInCell="1" allowOverlap="1" wp14:anchorId="26B1AD41" wp14:editId="7740C7EB">
                <wp:simplePos x="0" y="0"/>
                <wp:positionH relativeFrom="column">
                  <wp:posOffset>1200150</wp:posOffset>
                </wp:positionH>
                <wp:positionV relativeFrom="paragraph">
                  <wp:posOffset>12700</wp:posOffset>
                </wp:positionV>
                <wp:extent cx="1333500" cy="273050"/>
                <wp:effectExtent l="0" t="57150" r="0" b="31750"/>
                <wp:wrapNone/>
                <wp:docPr id="10" name="Straight Arrow Connector 10"/>
                <wp:cNvGraphicFramePr/>
                <a:graphic xmlns:a="http://schemas.openxmlformats.org/drawingml/2006/main">
                  <a:graphicData uri="http://schemas.microsoft.com/office/word/2010/wordprocessingShape">
                    <wps:wsp>
                      <wps:cNvCnPr/>
                      <wps:spPr>
                        <a:xfrm flipV="1">
                          <a:off x="0" y="0"/>
                          <a:ext cx="1333500" cy="27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B224FB" id="Straight Arrow Connector 10" o:spid="_x0000_s1026" type="#_x0000_t32" style="position:absolute;margin-left:94.5pt;margin-top:1pt;width:105pt;height:21.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" strokecolor="#4472c4 [3204]" strokeweight=".5pt">
                <v:stroke endarrow="block" joinstyle="miter"/>
              </v:shape>
            </w:pict>
          </mc:Fallback>
        </mc:AlternateContent>
      </w:r>
    </w:p>
    <w:p w14:paraId="6DD13944" w14:textId="3A21F5FA" w:rsidR="00C05309" w:rsidRDefault="00C05309" w:rsidP="00C05309">
      <w:pPr>
        <w:pStyle w:val="NoSpacing"/>
      </w:pPr>
      <w:r>
        <w:t>Govt. Effectiveness</w:t>
      </w:r>
      <w:r>
        <w:tab/>
      </w:r>
      <w:r>
        <w:tab/>
      </w:r>
      <w:r>
        <w:tab/>
      </w:r>
      <w:r>
        <w:tab/>
      </w:r>
      <w:r>
        <w:tab/>
      </w:r>
      <w:r>
        <w:tab/>
      </w:r>
      <w:r>
        <w:tab/>
        <w:t>Status Pursuits</w:t>
      </w:r>
    </w:p>
    <w:p w14:paraId="67EAB51B" w14:textId="056CA645" w:rsidR="00C05309" w:rsidRDefault="00750970" w:rsidP="00C05309">
      <w:pPr>
        <w:pStyle w:val="NoSpacing"/>
      </w:pPr>
      <w:r>
        <w:rPr>
          <w:noProof/>
        </w:rPr>
        <mc:AlternateContent>
          <mc:Choice Requires="wps">
            <w:drawing>
              <wp:anchor distT="0" distB="0" distL="114300" distR="114300" simplePos="0" relativeHeight="251667456" behindDoc="0" locked="0" layoutInCell="1" allowOverlap="1" wp14:anchorId="34336654" wp14:editId="37E8BA3E">
                <wp:simplePos x="0" y="0"/>
                <wp:positionH relativeFrom="column">
                  <wp:posOffset>4762831</wp:posOffset>
                </wp:positionH>
                <wp:positionV relativeFrom="paragraph">
                  <wp:posOffset>43373</wp:posOffset>
                </wp:positionV>
                <wp:extent cx="341906" cy="135172"/>
                <wp:effectExtent l="0" t="0" r="77470" b="55880"/>
                <wp:wrapNone/>
                <wp:docPr id="21" name="Straight Arrow Connector 21"/>
                <wp:cNvGraphicFramePr/>
                <a:graphic xmlns:a="http://schemas.openxmlformats.org/drawingml/2006/main">
                  <a:graphicData uri="http://schemas.microsoft.com/office/word/2010/wordprocessingShape">
                    <wps:wsp>
                      <wps:cNvCnPr/>
                      <wps:spPr>
                        <a:xfrm>
                          <a:off x="0" y="0"/>
                          <a:ext cx="341906" cy="1351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7BF59B" id="Straight Arrow Connector 21" o:spid="_x0000_s1026" type="#_x0000_t32" style="position:absolute;margin-left:375.05pt;margin-top:3.4pt;width:26.9pt;height:10.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" strokecolor="#4472c4 [3204]"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724AD766" wp14:editId="6C9F0CC1">
                <wp:simplePos x="0" y="0"/>
                <wp:positionH relativeFrom="column">
                  <wp:posOffset>4079019</wp:posOffset>
                </wp:positionH>
                <wp:positionV relativeFrom="paragraph">
                  <wp:posOffset>59276</wp:posOffset>
                </wp:positionV>
                <wp:extent cx="445273" cy="500932"/>
                <wp:effectExtent l="38100" t="0" r="31115" b="52070"/>
                <wp:wrapNone/>
                <wp:docPr id="20" name="Straight Arrow Connector 20"/>
                <wp:cNvGraphicFramePr/>
                <a:graphic xmlns:a="http://schemas.openxmlformats.org/drawingml/2006/main">
                  <a:graphicData uri="http://schemas.microsoft.com/office/word/2010/wordprocessingShape">
                    <wps:wsp>
                      <wps:cNvCnPr/>
                      <wps:spPr>
                        <a:xfrm flipH="1">
                          <a:off x="0" y="0"/>
                          <a:ext cx="445273" cy="5009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6188F2" id="Straight Arrow Connector 20" o:spid="_x0000_s1026" type="#_x0000_t32" style="position:absolute;margin-left:321.2pt;margin-top:4.65pt;width:35.05pt;height:39.4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" strokecolor="#4472c4 [3204]" strokeweight=".5pt">
                <v:stroke endarrow="block" joinstyle="miter"/>
              </v:shape>
            </w:pict>
          </mc:Fallback>
        </mc:AlternateContent>
      </w:r>
      <w:r w:rsidR="00C05309">
        <w:t xml:space="preserve">    </w:t>
      </w:r>
    </w:p>
    <w:p w14:paraId="5D64CA3E" w14:textId="528A9F92" w:rsidR="00706B00" w:rsidRPr="00750970" w:rsidRDefault="002F42F9" w:rsidP="00FA6799">
      <w:pPr>
        <w:spacing w:line="480" w:lineRule="auto"/>
        <w:rPr>
          <w:rFonts w:cstheme="minorHAnsi"/>
        </w:rPr>
      </w:pPr>
      <w:r>
        <w:rPr>
          <w:rFonts w:ascii="Times New Roman" w:hAnsi="Times New Roman" w:cs="Times New Roman"/>
          <w:sz w:val="24"/>
        </w:rPr>
        <w:tab/>
      </w:r>
      <w:r w:rsidR="00750970">
        <w:rPr>
          <w:rFonts w:ascii="Times New Roman" w:hAnsi="Times New Roman" w:cs="Times New Roman"/>
          <w:sz w:val="24"/>
        </w:rPr>
        <w:tab/>
      </w:r>
      <w:r w:rsidR="00750970">
        <w:rPr>
          <w:rFonts w:ascii="Times New Roman" w:hAnsi="Times New Roman" w:cs="Times New Roman"/>
          <w:sz w:val="24"/>
        </w:rPr>
        <w:tab/>
      </w:r>
      <w:r w:rsidR="00750970">
        <w:rPr>
          <w:rFonts w:ascii="Times New Roman" w:hAnsi="Times New Roman" w:cs="Times New Roman"/>
          <w:sz w:val="24"/>
        </w:rPr>
        <w:tab/>
      </w:r>
      <w:r w:rsidR="00750970">
        <w:rPr>
          <w:rFonts w:ascii="Times New Roman" w:hAnsi="Times New Roman" w:cs="Times New Roman"/>
          <w:sz w:val="24"/>
        </w:rPr>
        <w:tab/>
      </w:r>
      <w:r w:rsidR="00750970">
        <w:rPr>
          <w:rFonts w:ascii="Times New Roman" w:hAnsi="Times New Roman" w:cs="Times New Roman"/>
          <w:sz w:val="24"/>
        </w:rPr>
        <w:tab/>
      </w:r>
      <w:r w:rsidR="00750970">
        <w:rPr>
          <w:rFonts w:ascii="Times New Roman" w:hAnsi="Times New Roman" w:cs="Times New Roman"/>
          <w:sz w:val="24"/>
        </w:rPr>
        <w:tab/>
      </w:r>
      <w:r w:rsidR="00750970">
        <w:rPr>
          <w:rFonts w:ascii="Times New Roman" w:hAnsi="Times New Roman" w:cs="Times New Roman"/>
          <w:sz w:val="24"/>
        </w:rPr>
        <w:tab/>
      </w:r>
      <w:r w:rsidR="00750970">
        <w:rPr>
          <w:rFonts w:ascii="Times New Roman" w:hAnsi="Times New Roman" w:cs="Times New Roman"/>
          <w:sz w:val="24"/>
        </w:rPr>
        <w:tab/>
      </w:r>
      <w:r w:rsidR="00750970">
        <w:rPr>
          <w:rFonts w:ascii="Times New Roman" w:hAnsi="Times New Roman" w:cs="Times New Roman"/>
          <w:sz w:val="24"/>
        </w:rPr>
        <w:tab/>
      </w:r>
      <w:r w:rsidR="00750970">
        <w:rPr>
          <w:rFonts w:ascii="Times New Roman" w:hAnsi="Times New Roman" w:cs="Times New Roman"/>
          <w:sz w:val="24"/>
        </w:rPr>
        <w:tab/>
      </w:r>
      <w:r w:rsidR="00750970" w:rsidRPr="00750970">
        <w:rPr>
          <w:rFonts w:cstheme="minorHAnsi"/>
        </w:rPr>
        <w:t>Cooperation</w:t>
      </w:r>
    </w:p>
    <w:p w14:paraId="1E91F5AC" w14:textId="2594DF60" w:rsidR="00750970" w:rsidRPr="00750970" w:rsidRDefault="00750970" w:rsidP="00FA6799">
      <w:pPr>
        <w:spacing w:line="480" w:lineRule="auto"/>
        <w:rPr>
          <w:rFonts w:cstheme="minorHAnsi"/>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750970">
        <w:rPr>
          <w:rFonts w:cstheme="minorHAnsi"/>
        </w:rPr>
        <w:t xml:space="preserve">Competition/Conflict   </w:t>
      </w:r>
      <w:r>
        <w:rPr>
          <w:rFonts w:cstheme="minorHAnsi"/>
        </w:rPr>
        <w:t xml:space="preserve">  </w:t>
      </w:r>
    </w:p>
    <w:p w14:paraId="46F46DFF" w14:textId="48EF9208" w:rsidR="00BC393A" w:rsidRDefault="00C3211F" w:rsidP="00BC393A">
      <w:pPr>
        <w:spacing w:line="480" w:lineRule="auto"/>
        <w:ind w:firstLine="720"/>
        <w:rPr>
          <w:rFonts w:ascii="Times New Roman" w:hAnsi="Times New Roman" w:cs="Times New Roman"/>
          <w:sz w:val="24"/>
        </w:rPr>
      </w:pPr>
      <w:r>
        <w:rPr>
          <w:rFonts w:ascii="Times New Roman" w:hAnsi="Times New Roman" w:cs="Times New Roman"/>
          <w:sz w:val="24"/>
        </w:rPr>
        <w:t xml:space="preserve">Second, we do not believe that </w:t>
      </w:r>
      <w:r w:rsidR="00BC393A">
        <w:rPr>
          <w:rFonts w:ascii="Times New Roman" w:hAnsi="Times New Roman" w:cs="Times New Roman"/>
          <w:sz w:val="24"/>
        </w:rPr>
        <w:t xml:space="preserve">the pursuit of greater status, or the need to maintain extant status, </w:t>
      </w:r>
      <w:r>
        <w:rPr>
          <w:rFonts w:ascii="Times New Roman" w:hAnsi="Times New Roman" w:cs="Times New Roman"/>
          <w:sz w:val="24"/>
        </w:rPr>
        <w:t xml:space="preserve">should automatically equate </w:t>
      </w:r>
      <w:r w:rsidR="00BC393A">
        <w:rPr>
          <w:rFonts w:ascii="Times New Roman" w:hAnsi="Times New Roman" w:cs="Times New Roman"/>
          <w:sz w:val="24"/>
        </w:rPr>
        <w:t xml:space="preserve">to status competition and conflict between states.  In fact, the conditions and constraints involved for states potentially engaging in status-seeking policies are complex (as suggested in Figure 9), and do not </w:t>
      </w:r>
      <w:r w:rsidR="00A638A2">
        <w:rPr>
          <w:rFonts w:ascii="Times New Roman" w:hAnsi="Times New Roman" w:cs="Times New Roman"/>
          <w:sz w:val="24"/>
        </w:rPr>
        <w:t>automatically</w:t>
      </w:r>
      <w:r w:rsidR="00BC393A">
        <w:rPr>
          <w:rFonts w:ascii="Times New Roman" w:hAnsi="Times New Roman" w:cs="Times New Roman"/>
          <w:sz w:val="24"/>
        </w:rPr>
        <w:t xml:space="preserve"> lead to extensive competition or conflict. </w:t>
      </w:r>
      <w:r w:rsidR="009B0306">
        <w:rPr>
          <w:rFonts w:ascii="Times New Roman" w:hAnsi="Times New Roman" w:cs="Times New Roman"/>
          <w:sz w:val="24"/>
        </w:rPr>
        <w:t>A</w:t>
      </w:r>
      <w:r w:rsidR="00BC393A">
        <w:rPr>
          <w:rFonts w:ascii="Times New Roman" w:hAnsi="Times New Roman" w:cs="Times New Roman"/>
          <w:sz w:val="24"/>
        </w:rPr>
        <w:t xml:space="preserve">s we had noted earlier, status-seeking strategies may depend in substantial part on where states are positioned, and the extent of their dissatisfaction with their positioning. States on a strong upward status trajectory (e.g., China) are likely to behave differently, and likely to take fewer risks than states in danger of losing their status, as their status is declining in the group hierarchy, or </w:t>
      </w:r>
      <w:r w:rsidR="008D09B0">
        <w:rPr>
          <w:rFonts w:ascii="Times New Roman" w:hAnsi="Times New Roman" w:cs="Times New Roman"/>
          <w:sz w:val="24"/>
        </w:rPr>
        <w:t xml:space="preserve">if </w:t>
      </w:r>
      <w:r w:rsidR="00E57ED2">
        <w:rPr>
          <w:rFonts w:ascii="Times New Roman" w:hAnsi="Times New Roman" w:cs="Times New Roman"/>
          <w:sz w:val="24"/>
        </w:rPr>
        <w:t xml:space="preserve">they </w:t>
      </w:r>
      <w:r w:rsidR="00BC393A">
        <w:rPr>
          <w:rFonts w:ascii="Times New Roman" w:hAnsi="Times New Roman" w:cs="Times New Roman"/>
          <w:sz w:val="24"/>
        </w:rPr>
        <w:t xml:space="preserve">may be in danger altogether of falling out of the status club (Russia). </w:t>
      </w:r>
    </w:p>
    <w:p w14:paraId="54977FC7" w14:textId="264E5D2C" w:rsidR="009B0306" w:rsidRPr="00706B00" w:rsidRDefault="009B0306" w:rsidP="009B0306">
      <w:pPr>
        <w:spacing w:line="480" w:lineRule="auto"/>
        <w:ind w:firstLine="720"/>
        <w:rPr>
          <w:rFonts w:ascii="Times New Roman" w:hAnsi="Times New Roman" w:cs="Times New Roman"/>
          <w:sz w:val="24"/>
        </w:rPr>
      </w:pPr>
      <w:r>
        <w:rPr>
          <w:rFonts w:ascii="Times New Roman" w:hAnsi="Times New Roman" w:cs="Times New Roman"/>
          <w:sz w:val="24"/>
        </w:rPr>
        <w:t xml:space="preserve">Additionally, it is unlikely that different types of status-seeking strategies produce similar levels of inter-state competition or conflict. </w:t>
      </w:r>
      <w:r w:rsidRPr="00706B00">
        <w:rPr>
          <w:rFonts w:ascii="Times New Roman" w:hAnsi="Times New Roman" w:cs="Times New Roman"/>
          <w:sz w:val="24"/>
        </w:rPr>
        <w:t>Larson’s work (Larson and</w:t>
      </w:r>
      <w:r w:rsidRPr="00706B00">
        <w:rPr>
          <w:rFonts w:ascii="Times New Roman" w:hAnsi="Times New Roman" w:cs="Times New Roman"/>
          <w:sz w:val="24"/>
          <w:szCs w:val="24"/>
        </w:rPr>
        <w:t xml:space="preserve"> Shevchenko 2003, 2010, Larson 2017) </w:t>
      </w:r>
      <w:r w:rsidRPr="00706B00">
        <w:rPr>
          <w:rFonts w:ascii="Times New Roman" w:hAnsi="Times New Roman" w:cs="Times New Roman"/>
          <w:sz w:val="24"/>
        </w:rPr>
        <w:t xml:space="preserve">applying SIT theory </w:t>
      </w:r>
      <w:r>
        <w:rPr>
          <w:rFonts w:ascii="Times New Roman" w:hAnsi="Times New Roman" w:cs="Times New Roman"/>
          <w:sz w:val="24"/>
        </w:rPr>
        <w:t xml:space="preserve">to status seeking </w:t>
      </w:r>
      <w:r w:rsidRPr="00706B00">
        <w:rPr>
          <w:rFonts w:ascii="Times New Roman" w:hAnsi="Times New Roman" w:cs="Times New Roman"/>
          <w:sz w:val="24"/>
        </w:rPr>
        <w:t xml:space="preserve">suggests </w:t>
      </w:r>
      <w:r>
        <w:rPr>
          <w:rFonts w:ascii="Times New Roman" w:hAnsi="Times New Roman" w:cs="Times New Roman"/>
          <w:sz w:val="24"/>
        </w:rPr>
        <w:t xml:space="preserve">that there are </w:t>
      </w:r>
      <w:r w:rsidRPr="00706B00">
        <w:rPr>
          <w:rFonts w:ascii="Times New Roman" w:hAnsi="Times New Roman" w:cs="Times New Roman"/>
          <w:sz w:val="24"/>
        </w:rPr>
        <w:t>three broad</w:t>
      </w:r>
      <w:r>
        <w:rPr>
          <w:rFonts w:ascii="Times New Roman" w:hAnsi="Times New Roman" w:cs="Times New Roman"/>
          <w:sz w:val="24"/>
        </w:rPr>
        <w:t>, non-mutually exclusive</w:t>
      </w:r>
      <w:r w:rsidRPr="00706B00">
        <w:rPr>
          <w:rFonts w:ascii="Times New Roman" w:hAnsi="Times New Roman" w:cs="Times New Roman"/>
          <w:sz w:val="24"/>
        </w:rPr>
        <w:t xml:space="preserve"> strategies available to states seeking </w:t>
      </w:r>
      <w:r>
        <w:rPr>
          <w:rFonts w:ascii="Times New Roman" w:hAnsi="Times New Roman" w:cs="Times New Roman"/>
          <w:sz w:val="24"/>
        </w:rPr>
        <w:t>higher</w:t>
      </w:r>
      <w:r w:rsidRPr="00706B00">
        <w:rPr>
          <w:rFonts w:ascii="Times New Roman" w:hAnsi="Times New Roman" w:cs="Times New Roman"/>
          <w:sz w:val="24"/>
        </w:rPr>
        <w:t xml:space="preserve"> status or </w:t>
      </w:r>
      <w:r>
        <w:rPr>
          <w:rFonts w:ascii="Times New Roman" w:hAnsi="Times New Roman" w:cs="Times New Roman"/>
          <w:sz w:val="24"/>
        </w:rPr>
        <w:t xml:space="preserve">for </w:t>
      </w:r>
      <w:r w:rsidRPr="00706B00">
        <w:rPr>
          <w:rFonts w:ascii="Times New Roman" w:hAnsi="Times New Roman" w:cs="Times New Roman"/>
          <w:sz w:val="24"/>
        </w:rPr>
        <w:t xml:space="preserve">trying to keep the </w:t>
      </w:r>
      <w:r w:rsidRPr="00706B00">
        <w:rPr>
          <w:rFonts w:ascii="Times New Roman" w:hAnsi="Times New Roman" w:cs="Times New Roman"/>
          <w:sz w:val="24"/>
        </w:rPr>
        <w:lastRenderedPageBreak/>
        <w:t xml:space="preserve">status they have. These include social mobility (emulating the values of higher-status states), social competition (striving to equal or surpass the dominant group), and social creativity (revaluing a negative characteristic as positive, or, identifying a new dimension on which the state may demonstrate superiority). While all three strategies </w:t>
      </w:r>
      <w:r>
        <w:rPr>
          <w:rFonts w:ascii="Times New Roman" w:hAnsi="Times New Roman" w:cs="Times New Roman"/>
          <w:sz w:val="24"/>
        </w:rPr>
        <w:t>can</w:t>
      </w:r>
      <w:r w:rsidRPr="00706B00">
        <w:rPr>
          <w:rFonts w:ascii="Times New Roman" w:hAnsi="Times New Roman" w:cs="Times New Roman"/>
          <w:sz w:val="24"/>
        </w:rPr>
        <w:t xml:space="preserve"> generate substantial conflict between states, social mobility and social creativity generate fewer conflicts</w:t>
      </w:r>
      <w:r>
        <w:rPr>
          <w:rFonts w:ascii="Times New Roman" w:hAnsi="Times New Roman" w:cs="Times New Roman"/>
          <w:sz w:val="24"/>
        </w:rPr>
        <w:t xml:space="preserve"> than social competition</w:t>
      </w:r>
      <w:r w:rsidRPr="00706B00">
        <w:rPr>
          <w:rFonts w:ascii="Times New Roman" w:hAnsi="Times New Roman" w:cs="Times New Roman"/>
          <w:sz w:val="24"/>
        </w:rPr>
        <w:t>.</w:t>
      </w:r>
      <w:r>
        <w:rPr>
          <w:rStyle w:val="FootnoteReference"/>
          <w:rFonts w:ascii="Times New Roman" w:hAnsi="Times New Roman" w:cs="Times New Roman"/>
          <w:sz w:val="24"/>
        </w:rPr>
        <w:footnoteReference w:id="10"/>
      </w:r>
      <w:r w:rsidRPr="00706B00">
        <w:rPr>
          <w:rFonts w:ascii="Times New Roman" w:hAnsi="Times New Roman" w:cs="Times New Roman"/>
          <w:sz w:val="24"/>
        </w:rPr>
        <w:t xml:space="preserve"> Which of these strategies will be pursued by states seeking additional status, and the conditions under which status seeking generates substantial inter-state conflict </w:t>
      </w:r>
      <w:r>
        <w:rPr>
          <w:rFonts w:ascii="Times New Roman" w:hAnsi="Times New Roman" w:cs="Times New Roman"/>
          <w:sz w:val="24"/>
        </w:rPr>
        <w:t xml:space="preserve">and competition </w:t>
      </w:r>
      <w:r w:rsidRPr="00706B00">
        <w:rPr>
          <w:rFonts w:ascii="Times New Roman" w:hAnsi="Times New Roman" w:cs="Times New Roman"/>
          <w:sz w:val="24"/>
        </w:rPr>
        <w:t>requires substantial additional theoretical and empirical work.</w:t>
      </w:r>
    </w:p>
    <w:p w14:paraId="7C981720" w14:textId="34FEFF28" w:rsidR="00AE0AE9" w:rsidRPr="00706B00" w:rsidRDefault="00C3211F" w:rsidP="00830383">
      <w:pPr>
        <w:spacing w:line="480" w:lineRule="auto"/>
        <w:ind w:firstLine="720"/>
        <w:rPr>
          <w:rFonts w:ascii="Times New Roman" w:hAnsi="Times New Roman" w:cs="Times New Roman"/>
          <w:sz w:val="24"/>
        </w:rPr>
      </w:pPr>
      <w:r>
        <w:rPr>
          <w:rFonts w:ascii="Times New Roman" w:hAnsi="Times New Roman" w:cs="Times New Roman"/>
          <w:sz w:val="24"/>
        </w:rPr>
        <w:t>Third, too much of the extant scholarship ignores the premise that the</w:t>
      </w:r>
      <w:r w:rsidR="00BC393A">
        <w:rPr>
          <w:rFonts w:ascii="Times New Roman" w:hAnsi="Times New Roman" w:cs="Times New Roman"/>
          <w:sz w:val="24"/>
        </w:rPr>
        <w:t xml:space="preserve"> global context in which states operate are also likely to impact on the status seeking options. </w:t>
      </w:r>
      <w:r w:rsidR="00AE0AE9" w:rsidRPr="00706B00">
        <w:rPr>
          <w:rFonts w:ascii="Times New Roman" w:hAnsi="Times New Roman" w:cs="Times New Roman"/>
          <w:sz w:val="24"/>
        </w:rPr>
        <w:t>For example, Wohlforth (2009) argues that the more stratified the distribution of capabilities in international politics, the less the ambiguity about positioning, and the ability of states to do something about their positioning</w:t>
      </w:r>
      <w:r w:rsidR="00AE0AE9">
        <w:rPr>
          <w:rFonts w:ascii="Times New Roman" w:hAnsi="Times New Roman" w:cs="Times New Roman"/>
          <w:sz w:val="24"/>
        </w:rPr>
        <w:t xml:space="preserve">. </w:t>
      </w:r>
      <w:r w:rsidR="009B0306">
        <w:rPr>
          <w:rFonts w:ascii="Times New Roman" w:hAnsi="Times New Roman" w:cs="Times New Roman"/>
          <w:sz w:val="24"/>
        </w:rPr>
        <w:t xml:space="preserve">The more unambiguous and highly stratified the international system, the less likely that states will engage in status competition as especially membership in the most prestigious of status clubs is exceedingly difficult to attain for states not already part of the grouping. </w:t>
      </w:r>
      <w:proofErr w:type="spellStart"/>
      <w:r w:rsidR="00AE0AE9" w:rsidRPr="00706B00">
        <w:rPr>
          <w:rFonts w:ascii="Times New Roman" w:hAnsi="Times New Roman" w:cs="Times New Roman"/>
          <w:sz w:val="24"/>
        </w:rPr>
        <w:t>Wohlforth’s</w:t>
      </w:r>
      <w:proofErr w:type="spellEnd"/>
      <w:r w:rsidR="00AE0AE9" w:rsidRPr="00706B00">
        <w:rPr>
          <w:rFonts w:ascii="Times New Roman" w:hAnsi="Times New Roman" w:cs="Times New Roman"/>
          <w:sz w:val="24"/>
        </w:rPr>
        <w:t xml:space="preserve"> warning is important: it suggests that the structure of the international system can significantly constrain additional status seeking by states, even when policy maker</w:t>
      </w:r>
      <w:r w:rsidR="00AE0AE9">
        <w:rPr>
          <w:rFonts w:ascii="Times New Roman" w:hAnsi="Times New Roman" w:cs="Times New Roman"/>
          <w:sz w:val="24"/>
        </w:rPr>
        <w:t>s</w:t>
      </w:r>
      <w:r w:rsidR="00AE0AE9" w:rsidRPr="00706B00">
        <w:rPr>
          <w:rFonts w:ascii="Times New Roman" w:hAnsi="Times New Roman" w:cs="Times New Roman"/>
          <w:sz w:val="24"/>
        </w:rPr>
        <w:t xml:space="preserve"> prefer to change their status positioning in international politics.</w:t>
      </w:r>
      <w:r w:rsidR="00AE0AE9" w:rsidRPr="00706B00">
        <w:rPr>
          <w:rStyle w:val="FootnoteReference"/>
          <w:rFonts w:ascii="Times New Roman" w:hAnsi="Times New Roman" w:cs="Times New Roman"/>
          <w:sz w:val="24"/>
        </w:rPr>
        <w:footnoteReference w:id="11"/>
      </w:r>
      <w:r w:rsidR="00AE0AE9" w:rsidRPr="00706B00">
        <w:rPr>
          <w:rFonts w:ascii="Times New Roman" w:hAnsi="Times New Roman" w:cs="Times New Roman"/>
          <w:sz w:val="24"/>
        </w:rPr>
        <w:t xml:space="preserve"> We have yet to assess systematically how these </w:t>
      </w:r>
      <w:r w:rsidR="009B0306">
        <w:rPr>
          <w:rFonts w:ascii="Times New Roman" w:hAnsi="Times New Roman" w:cs="Times New Roman"/>
          <w:sz w:val="24"/>
        </w:rPr>
        <w:t xml:space="preserve">systemic considerations </w:t>
      </w:r>
      <w:r w:rsidR="00AE0AE9" w:rsidRPr="00706B00">
        <w:rPr>
          <w:rFonts w:ascii="Times New Roman" w:hAnsi="Times New Roman" w:cs="Times New Roman"/>
          <w:sz w:val="24"/>
        </w:rPr>
        <w:t>impact on the extent to which foreign policy makers will prioritize their status concerns, and engage in further status seeking.</w:t>
      </w:r>
    </w:p>
    <w:p w14:paraId="1590C272" w14:textId="22964BC2" w:rsidR="001A75C9" w:rsidRDefault="009B0306" w:rsidP="00EC7450">
      <w:pPr>
        <w:spacing w:line="480" w:lineRule="auto"/>
        <w:ind w:firstLine="720"/>
        <w:rPr>
          <w:rFonts w:ascii="Times New Roman" w:hAnsi="Times New Roman" w:cs="Times New Roman"/>
          <w:sz w:val="24"/>
        </w:rPr>
      </w:pPr>
      <w:r>
        <w:rPr>
          <w:rFonts w:ascii="Times New Roman" w:hAnsi="Times New Roman" w:cs="Times New Roman"/>
          <w:sz w:val="24"/>
        </w:rPr>
        <w:lastRenderedPageBreak/>
        <w:t xml:space="preserve">Fourth, </w:t>
      </w:r>
      <w:r w:rsidR="00472024">
        <w:rPr>
          <w:rFonts w:ascii="Times New Roman" w:hAnsi="Times New Roman" w:cs="Times New Roman"/>
          <w:sz w:val="24"/>
        </w:rPr>
        <w:t>there is substantial, unresolved controversy in the status literature regarding the relevant reference point for status seekers. S</w:t>
      </w:r>
      <w:r w:rsidR="002F42F9" w:rsidRPr="00706B00">
        <w:rPr>
          <w:rFonts w:ascii="Times New Roman" w:hAnsi="Times New Roman" w:cs="Times New Roman"/>
          <w:sz w:val="24"/>
        </w:rPr>
        <w:t>tatus is inherently both a relational and a perceptual concept. When policy makers assess their own status, whether in terms of group membership or a hierarchical ordering, what is the relevant reference group?  The literature has offered at least three competing answers to this question. One is that status is assessed in terms of “aspiration”: unless one has already achieved positioning at the apex of a hierarchy, states always seek entrance to status groups with higher standing</w:t>
      </w:r>
      <w:r w:rsidR="00EC7450" w:rsidRPr="00706B00">
        <w:rPr>
          <w:rFonts w:ascii="Times New Roman" w:hAnsi="Times New Roman" w:cs="Times New Roman"/>
          <w:sz w:val="24"/>
        </w:rPr>
        <w:t xml:space="preserve">, and in terms of hierarchical ordering, </w:t>
      </w:r>
      <w:r w:rsidR="00A638A2">
        <w:rPr>
          <w:rFonts w:ascii="Times New Roman" w:hAnsi="Times New Roman" w:cs="Times New Roman"/>
          <w:sz w:val="24"/>
        </w:rPr>
        <w:t xml:space="preserve">are </w:t>
      </w:r>
      <w:r w:rsidR="00EC7450" w:rsidRPr="00706B00">
        <w:rPr>
          <w:rFonts w:ascii="Times New Roman" w:hAnsi="Times New Roman" w:cs="Times New Roman"/>
          <w:sz w:val="24"/>
        </w:rPr>
        <w:t>always seeking a higher position than what they perceive to have been attributed</w:t>
      </w:r>
      <w:r w:rsidR="00BE22E0">
        <w:rPr>
          <w:rFonts w:ascii="Times New Roman" w:hAnsi="Times New Roman" w:cs="Times New Roman"/>
          <w:sz w:val="24"/>
        </w:rPr>
        <w:t xml:space="preserve"> to them.</w:t>
      </w:r>
      <w:r w:rsidR="00EC7450" w:rsidRPr="00706B00">
        <w:rPr>
          <w:rStyle w:val="FootnoteReference"/>
          <w:rFonts w:ascii="Times New Roman" w:hAnsi="Times New Roman" w:cs="Times New Roman"/>
          <w:sz w:val="24"/>
        </w:rPr>
        <w:footnoteReference w:id="12"/>
      </w:r>
      <w:r w:rsidR="00EC7450" w:rsidRPr="00706B00">
        <w:rPr>
          <w:rFonts w:ascii="Times New Roman" w:hAnsi="Times New Roman" w:cs="Times New Roman"/>
          <w:sz w:val="24"/>
        </w:rPr>
        <w:t xml:space="preserve"> </w:t>
      </w:r>
    </w:p>
    <w:p w14:paraId="4232B5AE" w14:textId="4703788C" w:rsidR="002F42F9" w:rsidRDefault="00EC7450" w:rsidP="00EC7450">
      <w:pPr>
        <w:spacing w:line="480" w:lineRule="auto"/>
        <w:ind w:firstLine="720"/>
        <w:rPr>
          <w:rFonts w:ascii="Times New Roman" w:hAnsi="Times New Roman" w:cs="Times New Roman"/>
          <w:sz w:val="24"/>
        </w:rPr>
      </w:pPr>
      <w:r w:rsidRPr="00706B00">
        <w:rPr>
          <w:rFonts w:ascii="Times New Roman" w:hAnsi="Times New Roman" w:cs="Times New Roman"/>
          <w:sz w:val="24"/>
        </w:rPr>
        <w:t>A second approach suggests that, at least for major and regional powers, it is the global attribution of status by the global community of states that matters</w:t>
      </w:r>
      <w:r w:rsidR="00472024">
        <w:rPr>
          <w:rFonts w:ascii="Times New Roman" w:hAnsi="Times New Roman" w:cs="Times New Roman"/>
          <w:sz w:val="24"/>
        </w:rPr>
        <w:t xml:space="preserve"> (Miller et al. 2015, Bezerra et al. </w:t>
      </w:r>
      <w:r w:rsidR="00051FA3">
        <w:rPr>
          <w:rFonts w:ascii="Times New Roman" w:hAnsi="Times New Roman" w:cs="Times New Roman"/>
          <w:sz w:val="24"/>
        </w:rPr>
        <w:t>2015</w:t>
      </w:r>
      <w:r w:rsidR="00472024">
        <w:rPr>
          <w:rFonts w:ascii="Times New Roman" w:hAnsi="Times New Roman" w:cs="Times New Roman"/>
          <w:sz w:val="24"/>
        </w:rPr>
        <w:t>)</w:t>
      </w:r>
      <w:r w:rsidRPr="00706B00">
        <w:rPr>
          <w:rFonts w:ascii="Times New Roman" w:hAnsi="Times New Roman" w:cs="Times New Roman"/>
          <w:sz w:val="24"/>
        </w:rPr>
        <w:t xml:space="preserve">. A third perspective suggests that it is </w:t>
      </w:r>
      <w:r w:rsidR="000722DA" w:rsidRPr="000722DA">
        <w:rPr>
          <w:rFonts w:ascii="Times New Roman" w:hAnsi="Times New Roman" w:cs="Times New Roman"/>
          <w:i/>
          <w:sz w:val="24"/>
        </w:rPr>
        <w:t>primarily</w:t>
      </w:r>
      <w:r w:rsidR="00BE22E0">
        <w:rPr>
          <w:rFonts w:ascii="Times New Roman" w:hAnsi="Times New Roman" w:cs="Times New Roman"/>
          <w:sz w:val="24"/>
        </w:rPr>
        <w:t xml:space="preserve"> </w:t>
      </w:r>
      <w:r w:rsidRPr="00706B00">
        <w:rPr>
          <w:rFonts w:ascii="Times New Roman" w:hAnsi="Times New Roman" w:cs="Times New Roman"/>
          <w:sz w:val="24"/>
        </w:rPr>
        <w:t>the “relevant reference group” that matters to policy makers, and there are two candidates: status attribution in the hierarchy by other club members (e.g. other members of the major power club), or, attribution by those other states that are deemed most relevant to the state in question</w:t>
      </w:r>
      <w:r w:rsidR="00472024">
        <w:rPr>
          <w:rFonts w:ascii="Times New Roman" w:hAnsi="Times New Roman" w:cs="Times New Roman"/>
          <w:sz w:val="24"/>
        </w:rPr>
        <w:t xml:space="preserve"> (</w:t>
      </w:r>
      <w:proofErr w:type="spellStart"/>
      <w:r w:rsidR="00472024">
        <w:rPr>
          <w:rFonts w:ascii="Times New Roman" w:hAnsi="Times New Roman" w:cs="Times New Roman"/>
          <w:sz w:val="24"/>
        </w:rPr>
        <w:t>Renshon</w:t>
      </w:r>
      <w:proofErr w:type="spellEnd"/>
      <w:r w:rsidR="00472024">
        <w:rPr>
          <w:rFonts w:ascii="Times New Roman" w:hAnsi="Times New Roman" w:cs="Times New Roman"/>
          <w:sz w:val="24"/>
        </w:rPr>
        <w:t xml:space="preserve"> 2017)</w:t>
      </w:r>
      <w:r w:rsidRPr="00706B00">
        <w:rPr>
          <w:rFonts w:ascii="Times New Roman" w:hAnsi="Times New Roman" w:cs="Times New Roman"/>
          <w:sz w:val="24"/>
        </w:rPr>
        <w:t>. Wh</w:t>
      </w:r>
      <w:r w:rsidR="00F16E59">
        <w:rPr>
          <w:rFonts w:ascii="Times New Roman" w:hAnsi="Times New Roman" w:cs="Times New Roman"/>
          <w:sz w:val="24"/>
        </w:rPr>
        <w:t>ich</w:t>
      </w:r>
      <w:r w:rsidRPr="00706B00">
        <w:rPr>
          <w:rFonts w:ascii="Times New Roman" w:hAnsi="Times New Roman" w:cs="Times New Roman"/>
          <w:sz w:val="24"/>
        </w:rPr>
        <w:t xml:space="preserve"> states are relevant</w:t>
      </w:r>
      <w:r w:rsidR="00F16E59">
        <w:rPr>
          <w:rFonts w:ascii="Times New Roman" w:hAnsi="Times New Roman" w:cs="Times New Roman"/>
          <w:sz w:val="24"/>
        </w:rPr>
        <w:t xml:space="preserve"> reference points</w:t>
      </w:r>
      <w:r w:rsidRPr="00706B00">
        <w:rPr>
          <w:rFonts w:ascii="Times New Roman" w:hAnsi="Times New Roman" w:cs="Times New Roman"/>
          <w:sz w:val="24"/>
        </w:rPr>
        <w:t>? For most states status attribution may be regional: their relative status compared to those states with which they most often interact, and typically those would be other states in the region.</w:t>
      </w:r>
      <w:r w:rsidR="006D1350">
        <w:rPr>
          <w:rStyle w:val="FootnoteReference"/>
          <w:rFonts w:ascii="Times New Roman" w:hAnsi="Times New Roman" w:cs="Times New Roman"/>
          <w:sz w:val="24"/>
        </w:rPr>
        <w:footnoteReference w:id="13"/>
      </w:r>
      <w:r w:rsidRPr="00706B00">
        <w:rPr>
          <w:rFonts w:ascii="Times New Roman" w:hAnsi="Times New Roman" w:cs="Times New Roman"/>
          <w:sz w:val="24"/>
        </w:rPr>
        <w:t xml:space="preserve"> For rising powers, the relevant states </w:t>
      </w:r>
      <w:r w:rsidR="008360E7" w:rsidRPr="00706B00">
        <w:rPr>
          <w:rFonts w:ascii="Times New Roman" w:hAnsi="Times New Roman" w:cs="Times New Roman"/>
          <w:sz w:val="24"/>
        </w:rPr>
        <w:t>could</w:t>
      </w:r>
      <w:r w:rsidRPr="00706B00">
        <w:rPr>
          <w:rFonts w:ascii="Times New Roman" w:hAnsi="Times New Roman" w:cs="Times New Roman"/>
          <w:sz w:val="24"/>
        </w:rPr>
        <w:t xml:space="preserve"> be both the club members where they are seeking entrance, and</w:t>
      </w:r>
      <w:r w:rsidR="006D1350">
        <w:rPr>
          <w:rFonts w:ascii="Times New Roman" w:hAnsi="Times New Roman" w:cs="Times New Roman"/>
          <w:sz w:val="24"/>
        </w:rPr>
        <w:t>,</w:t>
      </w:r>
      <w:r w:rsidRPr="00706B00">
        <w:rPr>
          <w:rFonts w:ascii="Times New Roman" w:hAnsi="Times New Roman" w:cs="Times New Roman"/>
          <w:sz w:val="24"/>
        </w:rPr>
        <w:t xml:space="preserve"> depending on whether or not such status seeking constitutes a zero</w:t>
      </w:r>
      <w:r w:rsidR="006D1350">
        <w:rPr>
          <w:rFonts w:ascii="Times New Roman" w:hAnsi="Times New Roman" w:cs="Times New Roman"/>
          <w:sz w:val="24"/>
        </w:rPr>
        <w:t>-</w:t>
      </w:r>
      <w:r w:rsidRPr="00706B00">
        <w:rPr>
          <w:rFonts w:ascii="Times New Roman" w:hAnsi="Times New Roman" w:cs="Times New Roman"/>
          <w:sz w:val="24"/>
        </w:rPr>
        <w:t xml:space="preserve">sum game, </w:t>
      </w:r>
      <w:r w:rsidR="006D1350">
        <w:rPr>
          <w:rFonts w:ascii="Times New Roman" w:hAnsi="Times New Roman" w:cs="Times New Roman"/>
          <w:sz w:val="24"/>
        </w:rPr>
        <w:t>o</w:t>
      </w:r>
      <w:r w:rsidRPr="00706B00">
        <w:rPr>
          <w:rFonts w:ascii="Times New Roman" w:hAnsi="Times New Roman" w:cs="Times New Roman"/>
          <w:sz w:val="24"/>
        </w:rPr>
        <w:t xml:space="preserve">ther rising powers seeking membership in the same club. </w:t>
      </w:r>
      <w:r w:rsidR="002F42F9" w:rsidRPr="00706B00">
        <w:rPr>
          <w:rFonts w:ascii="Times New Roman" w:hAnsi="Times New Roman" w:cs="Times New Roman"/>
          <w:sz w:val="24"/>
        </w:rPr>
        <w:t xml:space="preserve"> </w:t>
      </w:r>
    </w:p>
    <w:p w14:paraId="639F4B0E" w14:textId="1A2D5F7E" w:rsidR="00F06B96" w:rsidRDefault="00F06B96" w:rsidP="00EC7450">
      <w:pPr>
        <w:spacing w:line="480" w:lineRule="auto"/>
        <w:ind w:firstLine="720"/>
        <w:rPr>
          <w:rFonts w:ascii="Times New Roman" w:hAnsi="Times New Roman" w:cs="Times New Roman"/>
          <w:sz w:val="24"/>
        </w:rPr>
      </w:pPr>
      <w:r>
        <w:rPr>
          <w:rFonts w:ascii="Times New Roman" w:hAnsi="Times New Roman" w:cs="Times New Roman"/>
          <w:sz w:val="24"/>
        </w:rPr>
        <w:t xml:space="preserve">The appropriate reference group matters to policy makers, and it should matter as well for our central question of the extent to which status seeking by “rising” powers equals status </w:t>
      </w:r>
      <w:r>
        <w:rPr>
          <w:rFonts w:ascii="Times New Roman" w:hAnsi="Times New Roman" w:cs="Times New Roman"/>
          <w:sz w:val="24"/>
        </w:rPr>
        <w:lastRenderedPageBreak/>
        <w:t xml:space="preserve">competition amongst them. Clearly, such status seeking does not have to result is status competition. Both India and Brazil could join the major power club without directly competing against each other for additional status, unless the status marker is one of gaining a permanent seat in the UN Security Council. China and Russia can both increase their ranking in the major power hierarchy and need not define such outcomes as constituting a zero-sum process. Of course, the extent to which such status seeking leads to substantial competition and conflict </w:t>
      </w:r>
      <w:r w:rsidR="008D09B0">
        <w:rPr>
          <w:rFonts w:ascii="Times New Roman" w:hAnsi="Times New Roman" w:cs="Times New Roman"/>
          <w:sz w:val="24"/>
        </w:rPr>
        <w:t xml:space="preserve">also </w:t>
      </w:r>
      <w:r>
        <w:rPr>
          <w:rFonts w:ascii="Times New Roman" w:hAnsi="Times New Roman" w:cs="Times New Roman"/>
          <w:sz w:val="24"/>
        </w:rPr>
        <w:t>depends on the type of status seeking strategy the two states would adopt.</w:t>
      </w:r>
    </w:p>
    <w:p w14:paraId="3EE06F19" w14:textId="08109B8F" w:rsidR="00F06B96" w:rsidRPr="00706B00" w:rsidRDefault="00F06B96" w:rsidP="00EC7450">
      <w:pPr>
        <w:spacing w:line="480" w:lineRule="auto"/>
        <w:ind w:firstLine="720"/>
        <w:rPr>
          <w:rFonts w:ascii="Times New Roman" w:hAnsi="Times New Roman" w:cs="Times New Roman"/>
          <w:sz w:val="24"/>
        </w:rPr>
      </w:pPr>
      <w:r>
        <w:rPr>
          <w:rFonts w:ascii="Times New Roman" w:hAnsi="Times New Roman" w:cs="Times New Roman"/>
          <w:sz w:val="24"/>
        </w:rPr>
        <w:t>Status competition and conflict is much more likely for states that seek to become regional powers in the same region. Two or more states seeking to be recognized as the dominant power in a geopolitical space make</w:t>
      </w:r>
      <w:r w:rsidR="002543AD">
        <w:rPr>
          <w:rFonts w:ascii="Times New Roman" w:hAnsi="Times New Roman" w:cs="Times New Roman"/>
          <w:sz w:val="24"/>
        </w:rPr>
        <w:t>s</w:t>
      </w:r>
      <w:r>
        <w:rPr>
          <w:rFonts w:ascii="Times New Roman" w:hAnsi="Times New Roman" w:cs="Times New Roman"/>
          <w:sz w:val="24"/>
        </w:rPr>
        <w:t xml:space="preserve"> for both competition and conflict; Turkish and Iranian regional status aspirations in the Middle East </w:t>
      </w:r>
      <w:r w:rsidR="00F514A8">
        <w:rPr>
          <w:rFonts w:ascii="Times New Roman" w:hAnsi="Times New Roman" w:cs="Times New Roman"/>
          <w:sz w:val="24"/>
        </w:rPr>
        <w:t>are unlikely to be played out in any manner short of a zero-sum context.</w:t>
      </w:r>
      <w:r>
        <w:rPr>
          <w:rFonts w:ascii="Times New Roman" w:hAnsi="Times New Roman" w:cs="Times New Roman"/>
          <w:sz w:val="24"/>
        </w:rPr>
        <w:t xml:space="preserve"> </w:t>
      </w:r>
    </w:p>
    <w:p w14:paraId="0DC22D54" w14:textId="264EC9FB" w:rsidR="003B4471" w:rsidRDefault="00A35B38" w:rsidP="00647BD2">
      <w:pPr>
        <w:spacing w:line="480" w:lineRule="auto"/>
        <w:rPr>
          <w:rFonts w:ascii="Times New Roman" w:hAnsi="Times New Roman" w:cs="Times New Roman"/>
          <w:sz w:val="24"/>
        </w:rPr>
      </w:pPr>
      <w:r w:rsidRPr="00706B00">
        <w:rPr>
          <w:rFonts w:ascii="Times New Roman" w:hAnsi="Times New Roman" w:cs="Times New Roman"/>
          <w:sz w:val="24"/>
        </w:rPr>
        <w:tab/>
        <w:t xml:space="preserve"> </w:t>
      </w:r>
      <w:r w:rsidR="00E47884">
        <w:rPr>
          <w:rFonts w:ascii="Times New Roman" w:hAnsi="Times New Roman" w:cs="Times New Roman"/>
          <w:sz w:val="24"/>
        </w:rPr>
        <w:t xml:space="preserve">Fifth, we caution that status seeking strategies will differ </w:t>
      </w:r>
      <w:r w:rsidR="00CC3AA0">
        <w:rPr>
          <w:rFonts w:ascii="Times New Roman" w:hAnsi="Times New Roman" w:cs="Times New Roman"/>
          <w:sz w:val="24"/>
        </w:rPr>
        <w:t xml:space="preserve">depending on the status trajectories and </w:t>
      </w:r>
      <w:r w:rsidR="007F730D">
        <w:rPr>
          <w:rFonts w:ascii="Times New Roman" w:hAnsi="Times New Roman" w:cs="Times New Roman"/>
          <w:sz w:val="24"/>
        </w:rPr>
        <w:t>capability trajectories of status aspiring states</w:t>
      </w:r>
      <w:r w:rsidR="0027492B">
        <w:rPr>
          <w:rFonts w:ascii="Times New Roman" w:hAnsi="Times New Roman" w:cs="Times New Roman"/>
          <w:sz w:val="24"/>
        </w:rPr>
        <w:t xml:space="preserve"> (e.g., </w:t>
      </w:r>
      <w:proofErr w:type="spellStart"/>
      <w:r w:rsidR="0027492B">
        <w:rPr>
          <w:rFonts w:ascii="Times New Roman" w:hAnsi="Times New Roman" w:cs="Times New Roman"/>
          <w:sz w:val="24"/>
        </w:rPr>
        <w:t>Onea</w:t>
      </w:r>
      <w:proofErr w:type="spellEnd"/>
      <w:r w:rsidR="0027492B">
        <w:rPr>
          <w:rFonts w:ascii="Times New Roman" w:hAnsi="Times New Roman" w:cs="Times New Roman"/>
          <w:sz w:val="24"/>
        </w:rPr>
        <w:t xml:space="preserve"> 2014, </w:t>
      </w:r>
      <w:proofErr w:type="spellStart"/>
      <w:r w:rsidR="00306E8D">
        <w:rPr>
          <w:rFonts w:ascii="Times New Roman" w:hAnsi="Times New Roman" w:cs="Times New Roman"/>
          <w:sz w:val="24"/>
        </w:rPr>
        <w:t>Krickovic</w:t>
      </w:r>
      <w:proofErr w:type="spellEnd"/>
      <w:r w:rsidR="00306E8D">
        <w:rPr>
          <w:rFonts w:ascii="Times New Roman" w:hAnsi="Times New Roman" w:cs="Times New Roman"/>
          <w:sz w:val="24"/>
        </w:rPr>
        <w:t xml:space="preserve"> 2017, </w:t>
      </w:r>
      <w:bookmarkStart w:id="1" w:name="_GoBack"/>
      <w:bookmarkEnd w:id="1"/>
      <w:r w:rsidR="0027492B">
        <w:rPr>
          <w:rFonts w:ascii="Times New Roman" w:hAnsi="Times New Roman" w:cs="Times New Roman"/>
          <w:sz w:val="24"/>
        </w:rPr>
        <w:t>Krickovic and Weber 2018)</w:t>
      </w:r>
      <w:r w:rsidR="007F730D">
        <w:rPr>
          <w:rFonts w:ascii="Times New Roman" w:hAnsi="Times New Roman" w:cs="Times New Roman"/>
          <w:sz w:val="24"/>
        </w:rPr>
        <w:t>. For instance, the Russian Federation—a state that lost its status in the superpower club and for a while had difficulty maintaining its membership in the major power club</w:t>
      </w:r>
      <w:r w:rsidR="00951534">
        <w:rPr>
          <w:rFonts w:ascii="Times New Roman" w:hAnsi="Times New Roman" w:cs="Times New Roman"/>
          <w:sz w:val="24"/>
        </w:rPr>
        <w:t xml:space="preserve"> during the 1990s</w:t>
      </w:r>
      <w:r w:rsidR="007F730D">
        <w:rPr>
          <w:rFonts w:ascii="Times New Roman" w:hAnsi="Times New Roman" w:cs="Times New Roman"/>
          <w:sz w:val="24"/>
        </w:rPr>
        <w:t xml:space="preserve">—has engaged in a series of status seeking strategies (Lewis 2018, Larson and </w:t>
      </w:r>
      <w:proofErr w:type="spellStart"/>
      <w:r w:rsidR="007F730D">
        <w:rPr>
          <w:rFonts w:ascii="Times New Roman" w:hAnsi="Times New Roman" w:cs="Times New Roman"/>
          <w:sz w:val="24"/>
        </w:rPr>
        <w:t>Sche</w:t>
      </w:r>
      <w:r w:rsidR="00951534">
        <w:rPr>
          <w:rFonts w:ascii="Times New Roman" w:hAnsi="Times New Roman" w:cs="Times New Roman"/>
          <w:sz w:val="24"/>
        </w:rPr>
        <w:t>v</w:t>
      </w:r>
      <w:r w:rsidR="007F730D">
        <w:rPr>
          <w:rFonts w:ascii="Times New Roman" w:hAnsi="Times New Roman" w:cs="Times New Roman"/>
          <w:sz w:val="24"/>
        </w:rPr>
        <w:t>chencko</w:t>
      </w:r>
      <w:proofErr w:type="spellEnd"/>
      <w:r w:rsidR="007F730D">
        <w:rPr>
          <w:rFonts w:ascii="Times New Roman" w:hAnsi="Times New Roman" w:cs="Times New Roman"/>
          <w:sz w:val="24"/>
        </w:rPr>
        <w:t xml:space="preserve"> 20</w:t>
      </w:r>
      <w:r w:rsidR="00951534">
        <w:rPr>
          <w:rFonts w:ascii="Times New Roman" w:hAnsi="Times New Roman" w:cs="Times New Roman"/>
          <w:sz w:val="24"/>
        </w:rPr>
        <w:t>03, 2010</w:t>
      </w:r>
      <w:r w:rsidR="007F730D">
        <w:rPr>
          <w:rFonts w:ascii="Times New Roman" w:hAnsi="Times New Roman" w:cs="Times New Roman"/>
          <w:sz w:val="24"/>
        </w:rPr>
        <w:t xml:space="preserve">) that are dramatically different from that of China, a rising power that entered the major power club after the Cold War’s end and continues developing rapidly its economic and military capabilities. </w:t>
      </w:r>
    </w:p>
    <w:p w14:paraId="08131EE0" w14:textId="5DBA0803" w:rsidR="007F730D" w:rsidRDefault="007F730D" w:rsidP="00647BD2">
      <w:pPr>
        <w:spacing w:line="480" w:lineRule="auto"/>
        <w:rPr>
          <w:rFonts w:ascii="Times New Roman" w:hAnsi="Times New Roman" w:cs="Times New Roman"/>
          <w:sz w:val="24"/>
        </w:rPr>
      </w:pPr>
      <w:r>
        <w:rPr>
          <w:rFonts w:ascii="Times New Roman" w:hAnsi="Times New Roman" w:cs="Times New Roman"/>
          <w:sz w:val="24"/>
        </w:rPr>
        <w:tab/>
        <w:t xml:space="preserve">It is understandable that as the Soviet Union disintegrated, </w:t>
      </w:r>
      <w:r w:rsidR="00951534">
        <w:rPr>
          <w:rFonts w:ascii="Times New Roman" w:hAnsi="Times New Roman" w:cs="Times New Roman"/>
          <w:sz w:val="24"/>
        </w:rPr>
        <w:t xml:space="preserve">the </w:t>
      </w:r>
      <w:r w:rsidR="001D6DF0">
        <w:rPr>
          <w:rFonts w:ascii="Times New Roman" w:hAnsi="Times New Roman" w:cs="Times New Roman"/>
          <w:sz w:val="24"/>
        </w:rPr>
        <w:t xml:space="preserve">resulting </w:t>
      </w:r>
      <w:r w:rsidR="00951534">
        <w:rPr>
          <w:rFonts w:ascii="Times New Roman" w:hAnsi="Times New Roman" w:cs="Times New Roman"/>
          <w:sz w:val="24"/>
        </w:rPr>
        <w:t xml:space="preserve">Russian Federation </w:t>
      </w:r>
      <w:r>
        <w:rPr>
          <w:rFonts w:ascii="Times New Roman" w:hAnsi="Times New Roman" w:cs="Times New Roman"/>
          <w:sz w:val="24"/>
        </w:rPr>
        <w:t xml:space="preserve">lost its </w:t>
      </w:r>
      <w:r w:rsidR="009117B8">
        <w:rPr>
          <w:rFonts w:ascii="Times New Roman" w:hAnsi="Times New Roman" w:cs="Times New Roman"/>
          <w:sz w:val="24"/>
        </w:rPr>
        <w:t xml:space="preserve">predecessor’s </w:t>
      </w:r>
      <w:r>
        <w:rPr>
          <w:rFonts w:ascii="Times New Roman" w:hAnsi="Times New Roman" w:cs="Times New Roman"/>
          <w:sz w:val="24"/>
        </w:rPr>
        <w:t xml:space="preserve">status as a superpower. What is more interesting is that it somehow maintained its status as a major power, especially during the 1990s when its economy </w:t>
      </w:r>
      <w:r>
        <w:rPr>
          <w:rFonts w:ascii="Times New Roman" w:hAnsi="Times New Roman" w:cs="Times New Roman"/>
          <w:sz w:val="24"/>
        </w:rPr>
        <w:lastRenderedPageBreak/>
        <w:t xml:space="preserve">was in shambles, its military beaten </w:t>
      </w:r>
      <w:r w:rsidR="009117B8">
        <w:rPr>
          <w:rFonts w:ascii="Times New Roman" w:hAnsi="Times New Roman" w:cs="Times New Roman"/>
          <w:sz w:val="24"/>
        </w:rPr>
        <w:t xml:space="preserve">internally </w:t>
      </w:r>
      <w:r>
        <w:rPr>
          <w:rFonts w:ascii="Times New Roman" w:hAnsi="Times New Roman" w:cs="Times New Roman"/>
          <w:sz w:val="24"/>
        </w:rPr>
        <w:t xml:space="preserve">by a weak Chechen rebellion, </w:t>
      </w:r>
      <w:r w:rsidR="00951534">
        <w:rPr>
          <w:rFonts w:ascii="Times New Roman" w:hAnsi="Times New Roman" w:cs="Times New Roman"/>
          <w:sz w:val="24"/>
        </w:rPr>
        <w:t>and its political system in disarray.</w:t>
      </w:r>
      <w:r w:rsidR="004C6028">
        <w:rPr>
          <w:rStyle w:val="FootnoteReference"/>
          <w:rFonts w:ascii="Times New Roman" w:hAnsi="Times New Roman" w:cs="Times New Roman"/>
          <w:sz w:val="24"/>
        </w:rPr>
        <w:footnoteReference w:id="14"/>
      </w:r>
      <w:r w:rsidR="00951534">
        <w:rPr>
          <w:rFonts w:ascii="Times New Roman" w:hAnsi="Times New Roman" w:cs="Times New Roman"/>
          <w:sz w:val="24"/>
        </w:rPr>
        <w:t xml:space="preserve"> </w:t>
      </w:r>
      <w:r w:rsidR="001B0360">
        <w:rPr>
          <w:rFonts w:ascii="Times New Roman" w:hAnsi="Times New Roman" w:cs="Times New Roman"/>
          <w:sz w:val="24"/>
        </w:rPr>
        <w:t xml:space="preserve">Such a halo effect for a declining power is likely to cause substantial worry for its policy makers as its status increasingly depends on its historical positioning (and the path dependency associated with status attribution, </w:t>
      </w:r>
      <w:r w:rsidR="00BC42BE">
        <w:rPr>
          <w:rFonts w:ascii="Times New Roman" w:hAnsi="Times New Roman" w:cs="Times New Roman"/>
          <w:sz w:val="24"/>
        </w:rPr>
        <w:t>a point also underscored by Duque 2018) while its capabilities to sustain global activity and influence are in decline.</w:t>
      </w:r>
    </w:p>
    <w:p w14:paraId="44D254A0" w14:textId="42D17C6C" w:rsidR="00BC42BE" w:rsidRPr="00706B00" w:rsidRDefault="00BC42BE" w:rsidP="00647BD2">
      <w:pPr>
        <w:spacing w:line="480" w:lineRule="auto"/>
        <w:rPr>
          <w:rFonts w:ascii="Times New Roman" w:hAnsi="Times New Roman" w:cs="Times New Roman"/>
          <w:sz w:val="24"/>
        </w:rPr>
      </w:pPr>
      <w:r>
        <w:rPr>
          <w:rFonts w:ascii="Times New Roman" w:hAnsi="Times New Roman" w:cs="Times New Roman"/>
          <w:sz w:val="24"/>
        </w:rPr>
        <w:tab/>
        <w:t>Again, a comparison between the Russian Federation and China</w:t>
      </w:r>
      <w:r w:rsidR="008D09B0">
        <w:rPr>
          <w:rFonts w:ascii="Times New Roman" w:hAnsi="Times New Roman" w:cs="Times New Roman"/>
          <w:sz w:val="24"/>
        </w:rPr>
        <w:t xml:space="preserve"> (which</w:t>
      </w:r>
      <w:r>
        <w:rPr>
          <w:rFonts w:ascii="Times New Roman" w:hAnsi="Times New Roman" w:cs="Times New Roman"/>
          <w:sz w:val="24"/>
        </w:rPr>
        <w:t xml:space="preserve"> emerged into the major power club around 1990 and with capabilities in an upward trajectory</w:t>
      </w:r>
      <w:r w:rsidR="008D09B0">
        <w:rPr>
          <w:rFonts w:ascii="Times New Roman" w:hAnsi="Times New Roman" w:cs="Times New Roman"/>
          <w:sz w:val="24"/>
        </w:rPr>
        <w:t>)</w:t>
      </w:r>
      <w:r>
        <w:rPr>
          <w:rFonts w:ascii="Times New Roman" w:hAnsi="Times New Roman" w:cs="Times New Roman"/>
          <w:sz w:val="24"/>
        </w:rPr>
        <w:t xml:space="preserve"> is a useful illustration regarding divergent paths and difficulties associated with declining versus upward trajectories in capabilities, status, and status strategies.</w:t>
      </w:r>
    </w:p>
    <w:p w14:paraId="6DEB1565" w14:textId="7ACDBCA6" w:rsidR="00ED44E7" w:rsidRDefault="00ED44E7" w:rsidP="00FA6799">
      <w:pPr>
        <w:spacing w:line="480" w:lineRule="auto"/>
        <w:rPr>
          <w:rFonts w:ascii="Times New Roman" w:hAnsi="Times New Roman" w:cs="Times New Roman"/>
          <w:sz w:val="24"/>
        </w:rPr>
      </w:pPr>
      <w:r>
        <w:rPr>
          <w:noProof/>
        </w:rPr>
        <w:drawing>
          <wp:inline distT="0" distB="0" distL="0" distR="0" wp14:anchorId="719FF00A" wp14:editId="1CBA3358">
            <wp:extent cx="6058894" cy="2886075"/>
            <wp:effectExtent l="0" t="0" r="18415" b="9525"/>
            <wp:docPr id="15" name="Chart 15">
              <a:extLst xmlns:a="http://schemas.openxmlformats.org/drawingml/2006/main">
                <a:ext uri="{FF2B5EF4-FFF2-40B4-BE49-F238E27FC236}">
                  <a16:creationId xmlns:a16="http://schemas.microsoft.com/office/drawing/2014/main" id="{AFC81965-9011-4DD5-9820-4C6432F710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4B148A" w14:textId="09AF3C7F" w:rsidR="00BC42BE" w:rsidRPr="00000512" w:rsidRDefault="00BC42BE" w:rsidP="00BC42BE">
      <w:pPr>
        <w:spacing w:line="480" w:lineRule="auto"/>
        <w:ind w:firstLine="720"/>
        <w:rPr>
          <w:rFonts w:ascii="Times New Roman" w:hAnsi="Times New Roman" w:cs="Times New Roman"/>
          <w:sz w:val="24"/>
        </w:rPr>
      </w:pPr>
      <w:r>
        <w:rPr>
          <w:rFonts w:ascii="Times New Roman" w:hAnsi="Times New Roman" w:cs="Times New Roman"/>
          <w:sz w:val="24"/>
        </w:rPr>
        <w:t xml:space="preserve">The differences in relative capability trajectories for these two states are fairly obvious, as indicated in Figures 8 and 9. In 1989, the Chinese economy was a bit smaller than that of the </w:t>
      </w:r>
      <w:r>
        <w:rPr>
          <w:rFonts w:ascii="Times New Roman" w:hAnsi="Times New Roman" w:cs="Times New Roman"/>
          <w:sz w:val="24"/>
        </w:rPr>
        <w:lastRenderedPageBreak/>
        <w:t xml:space="preserve">Soviet Union; today it is roughly more than five times larger than that of the Russian Federation (Figure 8). At the end of the Cold War Chinese military spending was roughly ten percent of the Soviet Union; by 2016, China’s military spending was more than three times that of the Russian Federation (Figure 9). On relative capabilities alone, and as well on the trajectory of their capabilities, these two states have dramatically different capacities to influence the course of international affairs. To the extent that such capability trajectories constrain status seeking strategies, these two states may not be comparable; to the extent that the growth of capabilities may impact on satisfaction with the status quo, they also signal substantial differences in risk-taking </w:t>
      </w:r>
      <w:r w:rsidR="007F4E0B">
        <w:rPr>
          <w:rFonts w:ascii="Times New Roman" w:hAnsi="Times New Roman" w:cs="Times New Roman"/>
          <w:sz w:val="24"/>
        </w:rPr>
        <w:t xml:space="preserve">by these two states as they seek to </w:t>
      </w:r>
      <w:r>
        <w:rPr>
          <w:rFonts w:ascii="Times New Roman" w:hAnsi="Times New Roman" w:cs="Times New Roman"/>
          <w:sz w:val="24"/>
        </w:rPr>
        <w:t>maintain or increas</w:t>
      </w:r>
      <w:r w:rsidR="007F4E0B">
        <w:rPr>
          <w:rFonts w:ascii="Times New Roman" w:hAnsi="Times New Roman" w:cs="Times New Roman"/>
          <w:sz w:val="24"/>
        </w:rPr>
        <w:t>e</w:t>
      </w:r>
      <w:r>
        <w:rPr>
          <w:rFonts w:ascii="Times New Roman" w:hAnsi="Times New Roman" w:cs="Times New Roman"/>
          <w:sz w:val="24"/>
        </w:rPr>
        <w:t xml:space="preserve"> their status in international affairs. </w:t>
      </w:r>
    </w:p>
    <w:p w14:paraId="06A07269" w14:textId="3E652A1A" w:rsidR="00ED44E7" w:rsidRDefault="00ED44E7" w:rsidP="00FA6799">
      <w:pPr>
        <w:spacing w:line="480" w:lineRule="auto"/>
        <w:rPr>
          <w:rFonts w:ascii="Times New Roman" w:hAnsi="Times New Roman" w:cs="Times New Roman"/>
          <w:sz w:val="24"/>
        </w:rPr>
      </w:pPr>
      <w:r>
        <w:rPr>
          <w:noProof/>
        </w:rPr>
        <w:drawing>
          <wp:inline distT="0" distB="0" distL="0" distR="0" wp14:anchorId="4A0CEA95" wp14:editId="4543915A">
            <wp:extent cx="5995283" cy="2886075"/>
            <wp:effectExtent l="0" t="0" r="5715" b="9525"/>
            <wp:docPr id="16" name="Chart 16">
              <a:extLst xmlns:a="http://schemas.openxmlformats.org/drawingml/2006/main">
                <a:ext uri="{FF2B5EF4-FFF2-40B4-BE49-F238E27FC236}">
                  <a16:creationId xmlns:a16="http://schemas.microsoft.com/office/drawing/2014/main" id="{84104E6C-C896-4A8B-9ACE-27150DB938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3FA05C" w14:textId="090AC0FE" w:rsidR="00596737" w:rsidRDefault="00596737" w:rsidP="00986285">
      <w:pPr>
        <w:spacing w:line="480" w:lineRule="auto"/>
        <w:ind w:firstLine="720"/>
        <w:rPr>
          <w:rFonts w:ascii="Times New Roman" w:hAnsi="Times New Roman" w:cs="Times New Roman"/>
          <w:sz w:val="24"/>
        </w:rPr>
      </w:pPr>
      <w:r>
        <w:rPr>
          <w:rFonts w:ascii="Times New Roman" w:hAnsi="Times New Roman" w:cs="Times New Roman"/>
          <w:sz w:val="24"/>
        </w:rPr>
        <w:t xml:space="preserve">The ebb and flow of recent current events </w:t>
      </w:r>
      <w:r w:rsidR="00EE4572">
        <w:rPr>
          <w:rFonts w:ascii="Times New Roman" w:hAnsi="Times New Roman" w:cs="Times New Roman"/>
          <w:sz w:val="24"/>
        </w:rPr>
        <w:t xml:space="preserve">underscore the </w:t>
      </w:r>
      <w:r>
        <w:rPr>
          <w:rFonts w:ascii="Times New Roman" w:hAnsi="Times New Roman" w:cs="Times New Roman"/>
          <w:sz w:val="24"/>
        </w:rPr>
        <w:t xml:space="preserve">substantial differences between Russian risk-taking versus Chinese caution. The capture of Crimea and the continued underwriting of tensions in </w:t>
      </w:r>
      <w:r w:rsidR="00EE4572">
        <w:rPr>
          <w:rFonts w:ascii="Times New Roman" w:hAnsi="Times New Roman" w:cs="Times New Roman"/>
          <w:sz w:val="24"/>
        </w:rPr>
        <w:t>e</w:t>
      </w:r>
      <w:r>
        <w:rPr>
          <w:rFonts w:ascii="Times New Roman" w:hAnsi="Times New Roman" w:cs="Times New Roman"/>
          <w:sz w:val="24"/>
        </w:rPr>
        <w:t xml:space="preserve">astern Ukraine, the strong military and political involvement with the Assad regime in Syria, and the aggressive interference in the American elections of 2016 are but a few signs of such Russian risk-taking. Russian commitment to modernizing its extensive </w:t>
      </w:r>
      <w:r>
        <w:rPr>
          <w:rFonts w:ascii="Times New Roman" w:hAnsi="Times New Roman" w:cs="Times New Roman"/>
          <w:sz w:val="24"/>
        </w:rPr>
        <w:lastRenderedPageBreak/>
        <w:t xml:space="preserve">nuclear forces even </w:t>
      </w:r>
      <w:r w:rsidR="008D09B0">
        <w:rPr>
          <w:rFonts w:ascii="Times New Roman" w:hAnsi="Times New Roman" w:cs="Times New Roman"/>
          <w:sz w:val="24"/>
        </w:rPr>
        <w:t xml:space="preserve">during </w:t>
      </w:r>
      <w:r>
        <w:rPr>
          <w:rFonts w:ascii="Times New Roman" w:hAnsi="Times New Roman" w:cs="Times New Roman"/>
          <w:sz w:val="24"/>
        </w:rPr>
        <w:t xml:space="preserve">times of economic difficulties, </w:t>
      </w:r>
      <w:r w:rsidR="00EE4572">
        <w:rPr>
          <w:rFonts w:ascii="Times New Roman" w:hAnsi="Times New Roman" w:cs="Times New Roman"/>
          <w:sz w:val="24"/>
        </w:rPr>
        <w:t>is</w:t>
      </w:r>
      <w:r>
        <w:rPr>
          <w:rFonts w:ascii="Times New Roman" w:hAnsi="Times New Roman" w:cs="Times New Roman"/>
          <w:sz w:val="24"/>
        </w:rPr>
        <w:t xml:space="preserve"> another. Meanwhile, China has exhibited relatively risk-averse policies outside of its immediate backyard (</w:t>
      </w:r>
      <w:r w:rsidR="00650E99">
        <w:rPr>
          <w:rFonts w:ascii="Times New Roman" w:hAnsi="Times New Roman" w:cs="Times New Roman"/>
          <w:sz w:val="24"/>
        </w:rPr>
        <w:t xml:space="preserve">in the East and </w:t>
      </w:r>
      <w:r>
        <w:rPr>
          <w:rFonts w:ascii="Times New Roman" w:hAnsi="Times New Roman" w:cs="Times New Roman"/>
          <w:sz w:val="24"/>
        </w:rPr>
        <w:t xml:space="preserve">South China </w:t>
      </w:r>
      <w:r w:rsidR="00650E99">
        <w:rPr>
          <w:rFonts w:ascii="Times New Roman" w:hAnsi="Times New Roman" w:cs="Times New Roman"/>
          <w:sz w:val="24"/>
        </w:rPr>
        <w:t>seas</w:t>
      </w:r>
      <w:r>
        <w:rPr>
          <w:rFonts w:ascii="Times New Roman" w:hAnsi="Times New Roman" w:cs="Times New Roman"/>
          <w:sz w:val="24"/>
        </w:rPr>
        <w:t>), ranging from a modest response</w:t>
      </w:r>
      <w:r w:rsidR="00650E99">
        <w:rPr>
          <w:rStyle w:val="FootnoteReference"/>
          <w:rFonts w:ascii="Times New Roman" w:hAnsi="Times New Roman" w:cs="Times New Roman"/>
          <w:sz w:val="24"/>
        </w:rPr>
        <w:footnoteReference w:id="15"/>
      </w:r>
      <w:r>
        <w:rPr>
          <w:rFonts w:ascii="Times New Roman" w:hAnsi="Times New Roman" w:cs="Times New Roman"/>
          <w:sz w:val="24"/>
        </w:rPr>
        <w:t xml:space="preserve"> to the U.S. bombing of its Serbian embassy in 1999 through its quiet diplomacy and negotiations with the U.S. in response to President Trump’s blustering denunciations and </w:t>
      </w:r>
      <w:r w:rsidR="008D09B0">
        <w:rPr>
          <w:rFonts w:ascii="Times New Roman" w:hAnsi="Times New Roman" w:cs="Times New Roman"/>
          <w:sz w:val="24"/>
        </w:rPr>
        <w:t xml:space="preserve">tariff </w:t>
      </w:r>
      <w:r>
        <w:rPr>
          <w:rFonts w:ascii="Times New Roman" w:hAnsi="Times New Roman" w:cs="Times New Roman"/>
          <w:sz w:val="24"/>
        </w:rPr>
        <w:t>threat</w:t>
      </w:r>
      <w:r w:rsidR="00650E99">
        <w:rPr>
          <w:rFonts w:ascii="Times New Roman" w:hAnsi="Times New Roman" w:cs="Times New Roman"/>
          <w:sz w:val="24"/>
        </w:rPr>
        <w:t>s</w:t>
      </w:r>
      <w:r>
        <w:rPr>
          <w:rFonts w:ascii="Times New Roman" w:hAnsi="Times New Roman" w:cs="Times New Roman"/>
          <w:sz w:val="24"/>
        </w:rPr>
        <w:t xml:space="preserve"> over China’s trade policies.</w:t>
      </w:r>
    </w:p>
    <w:p w14:paraId="0332FDEE" w14:textId="77777777" w:rsidR="00DE0B64" w:rsidRDefault="00986285" w:rsidP="00986285">
      <w:pPr>
        <w:spacing w:line="480" w:lineRule="auto"/>
        <w:ind w:firstLine="720"/>
        <w:rPr>
          <w:rFonts w:ascii="Times New Roman" w:hAnsi="Times New Roman" w:cs="Times New Roman"/>
          <w:sz w:val="24"/>
        </w:rPr>
      </w:pPr>
      <w:r>
        <w:rPr>
          <w:rFonts w:ascii="Times New Roman" w:hAnsi="Times New Roman" w:cs="Times New Roman"/>
          <w:sz w:val="24"/>
        </w:rPr>
        <w:t>It is difficult to decipher whether or not this comparison is an anomaly or one that is typical of the differences between declining versus rising powers, without a systematic and comparative analysis that moves beyond these two cases. Nor can we tell without a more systematic and comparative analysis across a broader variety of cases whether or not the</w:t>
      </w:r>
      <w:r w:rsidR="00DE0B64">
        <w:rPr>
          <w:rFonts w:ascii="Times New Roman" w:hAnsi="Times New Roman" w:cs="Times New Roman"/>
          <w:sz w:val="24"/>
        </w:rPr>
        <w:t xml:space="preserve">se </w:t>
      </w:r>
      <w:r>
        <w:rPr>
          <w:rFonts w:ascii="Times New Roman" w:hAnsi="Times New Roman" w:cs="Times New Roman"/>
          <w:sz w:val="24"/>
        </w:rPr>
        <w:t>differences in strategies (high risk-taking and aggressive for the Russian Federation and low-risk, conservative on the part of China) is a function of differences in trajectories or their relative dissatisfaction with the global status quo.</w:t>
      </w:r>
      <w:r w:rsidR="00DE0B64">
        <w:rPr>
          <w:rFonts w:ascii="Times New Roman" w:hAnsi="Times New Roman" w:cs="Times New Roman"/>
          <w:sz w:val="24"/>
        </w:rPr>
        <w:t xml:space="preserve"> Yet these two cases are strongly suggestive of dramatically different status-seeking strategies by states with different capability trajectories and different issues related to their relative status in the major power club’s hierarchy. In this sense, their approaches to status seeking may not be comparable. </w:t>
      </w:r>
    </w:p>
    <w:p w14:paraId="20DD473C" w14:textId="549CAE6B" w:rsidR="00285425" w:rsidRDefault="00DE0B64" w:rsidP="00986285">
      <w:pPr>
        <w:spacing w:line="480" w:lineRule="auto"/>
        <w:ind w:firstLine="720"/>
        <w:rPr>
          <w:rFonts w:ascii="Times New Roman" w:hAnsi="Times New Roman" w:cs="Times New Roman"/>
          <w:sz w:val="24"/>
        </w:rPr>
      </w:pPr>
      <w:r>
        <w:rPr>
          <w:rFonts w:ascii="Times New Roman" w:hAnsi="Times New Roman" w:cs="Times New Roman"/>
          <w:sz w:val="24"/>
        </w:rPr>
        <w:t>They are also suggestive of another issue: the reference point for status aspiration may be historical</w:t>
      </w:r>
      <w:r w:rsidR="007F4E0B">
        <w:rPr>
          <w:rFonts w:ascii="Times New Roman" w:hAnsi="Times New Roman" w:cs="Times New Roman"/>
          <w:sz w:val="24"/>
        </w:rPr>
        <w:t xml:space="preserve"> (e.g. Freedman 2016)</w:t>
      </w:r>
      <w:r>
        <w:rPr>
          <w:rFonts w:ascii="Times New Roman" w:hAnsi="Times New Roman" w:cs="Times New Roman"/>
          <w:sz w:val="24"/>
        </w:rPr>
        <w:t xml:space="preserve"> rather than contemporary, and not necessarily one of competition and conflict between “rising” powers. The Russian status reference appears to be more in the </w:t>
      </w:r>
      <w:r>
        <w:rPr>
          <w:rFonts w:ascii="Times New Roman" w:hAnsi="Times New Roman" w:cs="Times New Roman"/>
          <w:sz w:val="24"/>
        </w:rPr>
        <w:lastRenderedPageBreak/>
        <w:t xml:space="preserve">context of its status as attributed by Western states and powers (e.g. Neumann, 2018), and not in comparison to China’s rising status. </w:t>
      </w:r>
      <w:r w:rsidR="00953049">
        <w:rPr>
          <w:rFonts w:ascii="Times New Roman" w:hAnsi="Times New Roman" w:cs="Times New Roman"/>
          <w:sz w:val="24"/>
        </w:rPr>
        <w:t xml:space="preserve">The Chinese reference may be in the </w:t>
      </w:r>
      <w:r w:rsidR="0061371C">
        <w:rPr>
          <w:rFonts w:ascii="Times New Roman" w:hAnsi="Times New Roman" w:cs="Times New Roman"/>
          <w:sz w:val="24"/>
        </w:rPr>
        <w:t>c</w:t>
      </w:r>
      <w:r w:rsidR="00953049">
        <w:rPr>
          <w:rFonts w:ascii="Times New Roman" w:hAnsi="Times New Roman" w:cs="Times New Roman"/>
          <w:sz w:val="24"/>
        </w:rPr>
        <w:t>ontext of its historical</w:t>
      </w:r>
      <w:r w:rsidR="0061371C">
        <w:rPr>
          <w:rFonts w:ascii="Times New Roman" w:hAnsi="Times New Roman" w:cs="Times New Roman"/>
          <w:sz w:val="24"/>
        </w:rPr>
        <w:t xml:space="preserve"> focus on global South leadership, and thus may be at least as concerned with its status among the entire community of states as much as with those that are members of the major power club.</w:t>
      </w:r>
      <w:r w:rsidR="00285425">
        <w:rPr>
          <w:rFonts w:ascii="Times New Roman" w:hAnsi="Times New Roman" w:cs="Times New Roman"/>
          <w:sz w:val="24"/>
        </w:rPr>
        <w:t xml:space="preserve"> </w:t>
      </w:r>
    </w:p>
    <w:p w14:paraId="40C66418" w14:textId="0B58233B" w:rsidR="0061371C" w:rsidRDefault="0061371C" w:rsidP="00986285">
      <w:pPr>
        <w:spacing w:line="480" w:lineRule="auto"/>
        <w:ind w:firstLine="720"/>
        <w:rPr>
          <w:rFonts w:ascii="Times New Roman" w:hAnsi="Times New Roman" w:cs="Times New Roman"/>
          <w:sz w:val="24"/>
        </w:rPr>
      </w:pPr>
      <w:r>
        <w:rPr>
          <w:rFonts w:ascii="Times New Roman" w:hAnsi="Times New Roman" w:cs="Times New Roman"/>
          <w:sz w:val="24"/>
        </w:rPr>
        <w:t xml:space="preserve">In fact, there is no reason </w:t>
      </w:r>
      <w:r w:rsidR="00A638A2">
        <w:rPr>
          <w:rFonts w:ascii="Times New Roman" w:hAnsi="Times New Roman" w:cs="Times New Roman"/>
          <w:sz w:val="24"/>
        </w:rPr>
        <w:t xml:space="preserve">to assume that </w:t>
      </w:r>
      <w:r>
        <w:rPr>
          <w:rFonts w:ascii="Times New Roman" w:hAnsi="Times New Roman" w:cs="Times New Roman"/>
          <w:sz w:val="24"/>
        </w:rPr>
        <w:t xml:space="preserve">status seeking among rising powers </w:t>
      </w:r>
      <w:r w:rsidR="00A638A2">
        <w:rPr>
          <w:rFonts w:ascii="Times New Roman" w:hAnsi="Times New Roman" w:cs="Times New Roman"/>
          <w:sz w:val="24"/>
        </w:rPr>
        <w:t>must</w:t>
      </w:r>
      <w:r>
        <w:rPr>
          <w:rFonts w:ascii="Times New Roman" w:hAnsi="Times New Roman" w:cs="Times New Roman"/>
          <w:sz w:val="24"/>
        </w:rPr>
        <w:t xml:space="preserve"> be a zero sum game of competition and conflict. The creation of institutions such as the BRICS and the G-20 illustrate that substantial cooperation between rising powers can also achieve higher status. </w:t>
      </w:r>
      <w:r w:rsidR="00E15EC2">
        <w:rPr>
          <w:rFonts w:ascii="Times New Roman" w:hAnsi="Times New Roman" w:cs="Times New Roman"/>
          <w:sz w:val="24"/>
        </w:rPr>
        <w:t>Whether rising powers actually engage in status competition with each other may very well depend on the nature of their trajectories, their membership in major or regional power status clubs, and the extent of their dissatisfaction with the progress they are making in either seeking club membership or their placement within the hierarchy once membership is granted.</w:t>
      </w:r>
      <w:r w:rsidR="00E15EC2">
        <w:rPr>
          <w:rStyle w:val="FootnoteReference"/>
          <w:rFonts w:ascii="Times New Roman" w:hAnsi="Times New Roman" w:cs="Times New Roman"/>
          <w:sz w:val="24"/>
        </w:rPr>
        <w:footnoteReference w:id="16"/>
      </w:r>
      <w:r w:rsidR="00E15EC2">
        <w:rPr>
          <w:rFonts w:ascii="Times New Roman" w:hAnsi="Times New Roman" w:cs="Times New Roman"/>
          <w:sz w:val="24"/>
        </w:rPr>
        <w:t xml:space="preserve"> </w:t>
      </w:r>
      <w:r w:rsidR="0076357B">
        <w:rPr>
          <w:rFonts w:ascii="Times New Roman" w:hAnsi="Times New Roman" w:cs="Times New Roman"/>
          <w:sz w:val="24"/>
        </w:rPr>
        <w:t xml:space="preserve">We need to assess systematically the range of factors, both environmental and endogenous to rising powers </w:t>
      </w:r>
      <w:r w:rsidR="008D09B0">
        <w:rPr>
          <w:rFonts w:ascii="Times New Roman" w:hAnsi="Times New Roman" w:cs="Times New Roman"/>
          <w:sz w:val="24"/>
        </w:rPr>
        <w:t>that</w:t>
      </w:r>
      <w:r w:rsidR="0076357B">
        <w:rPr>
          <w:rFonts w:ascii="Times New Roman" w:hAnsi="Times New Roman" w:cs="Times New Roman"/>
          <w:sz w:val="24"/>
        </w:rPr>
        <w:t xml:space="preserve"> would trigger or minimize status competition between them; such work is not presently available in our knowledge base regarding how </w:t>
      </w:r>
      <w:r w:rsidR="008D09B0">
        <w:rPr>
          <w:rFonts w:ascii="Times New Roman" w:hAnsi="Times New Roman" w:cs="Times New Roman"/>
          <w:sz w:val="24"/>
        </w:rPr>
        <w:t>“rising” powers</w:t>
      </w:r>
      <w:r w:rsidR="0076357B">
        <w:rPr>
          <w:rFonts w:ascii="Times New Roman" w:hAnsi="Times New Roman" w:cs="Times New Roman"/>
          <w:sz w:val="24"/>
        </w:rPr>
        <w:t xml:space="preserve"> seek additional status in world politics.</w:t>
      </w:r>
      <w:r w:rsidR="008D09B0">
        <w:rPr>
          <w:rFonts w:ascii="Times New Roman" w:hAnsi="Times New Roman" w:cs="Times New Roman"/>
          <w:sz w:val="24"/>
        </w:rPr>
        <w:t xml:space="preserve"> The focus of this special issue is </w:t>
      </w:r>
      <w:r w:rsidR="007F4E0B">
        <w:rPr>
          <w:rFonts w:ascii="Times New Roman" w:hAnsi="Times New Roman" w:cs="Times New Roman"/>
          <w:sz w:val="24"/>
        </w:rPr>
        <w:t xml:space="preserve">in part designed </w:t>
      </w:r>
      <w:r w:rsidR="008D09B0">
        <w:rPr>
          <w:rFonts w:ascii="Times New Roman" w:hAnsi="Times New Roman" w:cs="Times New Roman"/>
          <w:sz w:val="24"/>
        </w:rPr>
        <w:t>to add to that knowledge base.</w:t>
      </w:r>
    </w:p>
    <w:p w14:paraId="14DBB34D" w14:textId="27E9DDB5" w:rsidR="0076357B" w:rsidRPr="0076357B" w:rsidRDefault="0076357B" w:rsidP="0076357B">
      <w:pPr>
        <w:spacing w:line="480" w:lineRule="auto"/>
        <w:rPr>
          <w:rFonts w:ascii="Times New Roman" w:hAnsi="Times New Roman" w:cs="Times New Roman"/>
          <w:i/>
          <w:sz w:val="24"/>
        </w:rPr>
      </w:pPr>
      <w:r w:rsidRPr="0076357B">
        <w:rPr>
          <w:rFonts w:ascii="Times New Roman" w:hAnsi="Times New Roman" w:cs="Times New Roman"/>
          <w:i/>
          <w:sz w:val="24"/>
        </w:rPr>
        <w:t>A Word about Status Seeking “Rising Powers” and Global Governance</w:t>
      </w:r>
    </w:p>
    <w:p w14:paraId="52CC7984" w14:textId="4F6EEE17" w:rsidR="0076357B" w:rsidRDefault="00014B4E" w:rsidP="0076357B">
      <w:pPr>
        <w:spacing w:line="480" w:lineRule="auto"/>
        <w:rPr>
          <w:rFonts w:ascii="Times New Roman" w:hAnsi="Times New Roman" w:cs="Times New Roman"/>
          <w:sz w:val="24"/>
        </w:rPr>
      </w:pPr>
      <w:r>
        <w:rPr>
          <w:rFonts w:ascii="Times New Roman" w:hAnsi="Times New Roman" w:cs="Times New Roman"/>
          <w:sz w:val="24"/>
        </w:rPr>
        <w:tab/>
      </w:r>
      <w:r w:rsidR="00C14EF9">
        <w:rPr>
          <w:rFonts w:ascii="Times New Roman" w:hAnsi="Times New Roman" w:cs="Times New Roman"/>
          <w:sz w:val="24"/>
        </w:rPr>
        <w:t xml:space="preserve">Space limitations prohibit us from an extensive discussion of the voluminous literature on global governance. Instead, we suggest that there are four aspects typically associated with the topic. First, some capture global governance as architecture construction: the creation of </w:t>
      </w:r>
      <w:r w:rsidR="00C14EF9">
        <w:rPr>
          <w:rFonts w:ascii="Times New Roman" w:hAnsi="Times New Roman" w:cs="Times New Roman"/>
          <w:sz w:val="24"/>
        </w:rPr>
        <w:lastRenderedPageBreak/>
        <w:t>institutions and organizations at the global level designed to facilitate interaction and joint decision-making by states</w:t>
      </w:r>
      <w:r w:rsidR="0082049C">
        <w:rPr>
          <w:rFonts w:ascii="Times New Roman" w:hAnsi="Times New Roman" w:cs="Times New Roman"/>
          <w:sz w:val="24"/>
        </w:rPr>
        <w:t xml:space="preserve"> and other key actors in world politics</w:t>
      </w:r>
      <w:r w:rsidR="00C14EF9">
        <w:rPr>
          <w:rFonts w:ascii="Times New Roman" w:hAnsi="Times New Roman" w:cs="Times New Roman"/>
          <w:sz w:val="24"/>
        </w:rPr>
        <w:t xml:space="preserve">. A second approach is to focus on not construction but the maintenance and growth of such architecture: here the focus is on the provision of resources to increase the efficiency and effectiveness of organizations and institutions, along with the expansion in the scope of their activities. A third approach focuses on the issue context in which global </w:t>
      </w:r>
      <w:r w:rsidR="007F4E0B">
        <w:rPr>
          <w:rFonts w:ascii="Times New Roman" w:hAnsi="Times New Roman" w:cs="Times New Roman"/>
          <w:sz w:val="24"/>
        </w:rPr>
        <w:t xml:space="preserve">decision-making needs to </w:t>
      </w:r>
      <w:r w:rsidR="00C14EF9">
        <w:rPr>
          <w:rFonts w:ascii="Times New Roman" w:hAnsi="Times New Roman" w:cs="Times New Roman"/>
          <w:sz w:val="24"/>
        </w:rPr>
        <w:t xml:space="preserve">occur: this focus is on addressing specific </w:t>
      </w:r>
      <w:r w:rsidR="0082049C">
        <w:rPr>
          <w:rFonts w:ascii="Times New Roman" w:hAnsi="Times New Roman" w:cs="Times New Roman"/>
          <w:sz w:val="24"/>
        </w:rPr>
        <w:t xml:space="preserve">global </w:t>
      </w:r>
      <w:r w:rsidR="00C14EF9">
        <w:rPr>
          <w:rFonts w:ascii="Times New Roman" w:hAnsi="Times New Roman" w:cs="Times New Roman"/>
          <w:sz w:val="24"/>
        </w:rPr>
        <w:t>problems shared by the community of states</w:t>
      </w:r>
      <w:r w:rsidR="007D5EB4">
        <w:rPr>
          <w:rFonts w:ascii="Times New Roman" w:hAnsi="Times New Roman" w:cs="Times New Roman"/>
          <w:sz w:val="24"/>
        </w:rPr>
        <w:t xml:space="preserve"> regardless of institutional context</w:t>
      </w:r>
      <w:r w:rsidR="00C14EF9">
        <w:rPr>
          <w:rFonts w:ascii="Times New Roman" w:hAnsi="Times New Roman" w:cs="Times New Roman"/>
          <w:sz w:val="24"/>
        </w:rPr>
        <w:t xml:space="preserve">. Fourth, some scholars concerned with global governance focus on a normative dimension: the creation and accession to global norms such as human rights, </w:t>
      </w:r>
      <w:r w:rsidR="0082049C">
        <w:rPr>
          <w:rFonts w:ascii="Times New Roman" w:hAnsi="Times New Roman" w:cs="Times New Roman"/>
          <w:sz w:val="24"/>
        </w:rPr>
        <w:t xml:space="preserve">economic </w:t>
      </w:r>
      <w:r w:rsidR="00C14EF9">
        <w:rPr>
          <w:rFonts w:ascii="Times New Roman" w:hAnsi="Times New Roman" w:cs="Times New Roman"/>
          <w:sz w:val="24"/>
        </w:rPr>
        <w:t>liberalism, democracy, nuclear anti-proliferation norms, etc</w:t>
      </w:r>
      <w:r w:rsidR="007D5EB4">
        <w:rPr>
          <w:rFonts w:ascii="Times New Roman" w:hAnsi="Times New Roman" w:cs="Times New Roman"/>
          <w:sz w:val="24"/>
        </w:rPr>
        <w:t>etera,</w:t>
      </w:r>
      <w:r w:rsidR="00C14EF9">
        <w:rPr>
          <w:rFonts w:ascii="Times New Roman" w:hAnsi="Times New Roman" w:cs="Times New Roman"/>
          <w:sz w:val="24"/>
        </w:rPr>
        <w:t xml:space="preserve"> which in turn</w:t>
      </w:r>
      <w:r w:rsidR="007F4E0B">
        <w:rPr>
          <w:rFonts w:ascii="Times New Roman" w:hAnsi="Times New Roman" w:cs="Times New Roman"/>
          <w:sz w:val="24"/>
        </w:rPr>
        <w:t>—it is argued--strongly</w:t>
      </w:r>
      <w:r w:rsidR="00C14EF9">
        <w:rPr>
          <w:rFonts w:ascii="Times New Roman" w:hAnsi="Times New Roman" w:cs="Times New Roman"/>
          <w:sz w:val="24"/>
        </w:rPr>
        <w:t xml:space="preserve"> influence global governance</w:t>
      </w:r>
      <w:r w:rsidR="007D5EB4">
        <w:rPr>
          <w:rFonts w:ascii="Times New Roman" w:hAnsi="Times New Roman" w:cs="Times New Roman"/>
          <w:sz w:val="24"/>
        </w:rPr>
        <w:t xml:space="preserve">. </w:t>
      </w:r>
      <w:r w:rsidR="00A638A2">
        <w:rPr>
          <w:rFonts w:ascii="Times New Roman" w:hAnsi="Times New Roman" w:cs="Times New Roman"/>
          <w:sz w:val="24"/>
        </w:rPr>
        <w:t>Due to space limitations, we focus primarily on the first approach</w:t>
      </w:r>
    </w:p>
    <w:p w14:paraId="3FE3CF3E" w14:textId="31B62A26" w:rsidR="0038722C" w:rsidRDefault="007D5EB4" w:rsidP="0076357B">
      <w:pPr>
        <w:spacing w:line="480" w:lineRule="auto"/>
        <w:rPr>
          <w:rFonts w:ascii="Times New Roman" w:hAnsi="Times New Roman" w:cs="Times New Roman"/>
          <w:sz w:val="24"/>
        </w:rPr>
      </w:pPr>
      <w:r>
        <w:rPr>
          <w:rFonts w:ascii="Times New Roman" w:hAnsi="Times New Roman" w:cs="Times New Roman"/>
          <w:sz w:val="24"/>
        </w:rPr>
        <w:tab/>
      </w:r>
      <w:r w:rsidR="00AB1A45">
        <w:rPr>
          <w:rFonts w:ascii="Times New Roman" w:hAnsi="Times New Roman" w:cs="Times New Roman"/>
          <w:sz w:val="24"/>
        </w:rPr>
        <w:t xml:space="preserve">“Rising” powers can pursue status-seeking strategies involving all four dimensions of global governance, but much of their success may depend on their willingness to commit differential capabilities required by these dimensions. Of the four, perhaps the most difficult, taxing, and as well the most conflict producing would be the creation of new global architecture for governance. Such new architecture creation is relatively rare, and </w:t>
      </w:r>
      <w:r w:rsidR="00A638A2">
        <w:rPr>
          <w:rFonts w:ascii="Times New Roman" w:hAnsi="Times New Roman" w:cs="Times New Roman"/>
          <w:sz w:val="24"/>
        </w:rPr>
        <w:t xml:space="preserve">typically </w:t>
      </w:r>
      <w:r w:rsidR="00AB1A45">
        <w:rPr>
          <w:rFonts w:ascii="Times New Roman" w:hAnsi="Times New Roman" w:cs="Times New Roman"/>
          <w:sz w:val="24"/>
        </w:rPr>
        <w:t xml:space="preserve">comes on the heels of tumultuous events that make extant architecture useless, such as in the aftermath of the First and Second world wars.  </w:t>
      </w:r>
    </w:p>
    <w:p w14:paraId="5B137F45" w14:textId="72F2FF19" w:rsidR="00617B4F" w:rsidRDefault="00AB1A45" w:rsidP="0038722C">
      <w:pPr>
        <w:spacing w:line="480" w:lineRule="auto"/>
        <w:ind w:firstLine="720"/>
        <w:rPr>
          <w:rFonts w:ascii="Times New Roman" w:hAnsi="Times New Roman" w:cs="Times New Roman"/>
          <w:sz w:val="24"/>
        </w:rPr>
      </w:pPr>
      <w:r>
        <w:rPr>
          <w:rFonts w:ascii="Times New Roman" w:hAnsi="Times New Roman" w:cs="Times New Roman"/>
          <w:sz w:val="24"/>
        </w:rPr>
        <w:t xml:space="preserve">While the end of the Cold War had enormous implications </w:t>
      </w:r>
      <w:r w:rsidR="0038722C">
        <w:rPr>
          <w:rFonts w:ascii="Times New Roman" w:hAnsi="Times New Roman" w:cs="Times New Roman"/>
          <w:sz w:val="24"/>
        </w:rPr>
        <w:t xml:space="preserve">for world politics, its end was </w:t>
      </w:r>
      <w:r>
        <w:rPr>
          <w:rFonts w:ascii="Times New Roman" w:hAnsi="Times New Roman" w:cs="Times New Roman"/>
          <w:sz w:val="24"/>
        </w:rPr>
        <w:t>not accompanied by much new global architecture creation (e.g., see Volgy et al. 2009)</w:t>
      </w:r>
      <w:r w:rsidR="0038722C">
        <w:rPr>
          <w:rFonts w:ascii="Times New Roman" w:hAnsi="Times New Roman" w:cs="Times New Roman"/>
          <w:sz w:val="24"/>
        </w:rPr>
        <w:t xml:space="preserve">, which is typically constructed by the winners emerging from global transformation. In this instance neither the U.S. nor its allies needed such changes, especially since the existing architecture reflected their priorities. </w:t>
      </w:r>
      <w:r w:rsidR="00513E61">
        <w:rPr>
          <w:rFonts w:ascii="Times New Roman" w:hAnsi="Times New Roman" w:cs="Times New Roman"/>
          <w:sz w:val="24"/>
        </w:rPr>
        <w:t xml:space="preserve">Occasional efforts to change </w:t>
      </w:r>
      <w:r w:rsidR="00AF0797">
        <w:rPr>
          <w:rFonts w:ascii="Times New Roman" w:hAnsi="Times New Roman" w:cs="Times New Roman"/>
          <w:sz w:val="24"/>
        </w:rPr>
        <w:t xml:space="preserve">substantially </w:t>
      </w:r>
      <w:r w:rsidR="00513E61">
        <w:rPr>
          <w:rFonts w:ascii="Times New Roman" w:hAnsi="Times New Roman" w:cs="Times New Roman"/>
          <w:sz w:val="24"/>
        </w:rPr>
        <w:t xml:space="preserve">global security and economic </w:t>
      </w:r>
      <w:r w:rsidR="00513E61">
        <w:rPr>
          <w:rFonts w:ascii="Times New Roman" w:hAnsi="Times New Roman" w:cs="Times New Roman"/>
          <w:sz w:val="24"/>
        </w:rPr>
        <w:lastRenderedPageBreak/>
        <w:t xml:space="preserve">institutions since 1989 have been either half-hearted or advanced more as a wish list by rising </w:t>
      </w:r>
      <w:r w:rsidR="00AF0797">
        <w:rPr>
          <w:rFonts w:ascii="Times New Roman" w:hAnsi="Times New Roman" w:cs="Times New Roman"/>
          <w:sz w:val="24"/>
        </w:rPr>
        <w:t xml:space="preserve">and by </w:t>
      </w:r>
      <w:r w:rsidR="00513E61">
        <w:rPr>
          <w:rFonts w:ascii="Times New Roman" w:hAnsi="Times New Roman" w:cs="Times New Roman"/>
          <w:sz w:val="24"/>
        </w:rPr>
        <w:t xml:space="preserve">declining powers. Instead, most of the new architectural creation has been regional in nature, either filling gaps created by the Cold War’s end (e.g., in post-Soviet space) or, as a result of regional responses to failures in global governance (e.g., mechanisms of finance and trade following the Asian crisis in the 1990s). </w:t>
      </w:r>
      <w:r w:rsidR="00CE1958">
        <w:rPr>
          <w:rFonts w:ascii="Times New Roman" w:hAnsi="Times New Roman" w:cs="Times New Roman"/>
          <w:sz w:val="24"/>
        </w:rPr>
        <w:t xml:space="preserve">At the global level, efforts to supplement or supplant architecture on the part of rising and declining powers have been </w:t>
      </w:r>
      <w:r w:rsidR="00092E25">
        <w:rPr>
          <w:rFonts w:ascii="Times New Roman" w:hAnsi="Times New Roman" w:cs="Times New Roman"/>
          <w:sz w:val="24"/>
        </w:rPr>
        <w:t xml:space="preserve">more </w:t>
      </w:r>
      <w:r w:rsidR="00CE1958">
        <w:rPr>
          <w:rFonts w:ascii="Times New Roman" w:hAnsi="Times New Roman" w:cs="Times New Roman"/>
          <w:sz w:val="24"/>
        </w:rPr>
        <w:t>of a cooperative nature rather than conflictual (e.g., the creation of BRICS</w:t>
      </w:r>
      <w:r w:rsidR="00092E25">
        <w:rPr>
          <w:rFonts w:ascii="Times New Roman" w:hAnsi="Times New Roman" w:cs="Times New Roman"/>
          <w:sz w:val="24"/>
        </w:rPr>
        <w:t>,</w:t>
      </w:r>
      <w:r w:rsidR="00CE1958">
        <w:rPr>
          <w:rFonts w:ascii="Times New Roman" w:hAnsi="Times New Roman" w:cs="Times New Roman"/>
          <w:sz w:val="24"/>
        </w:rPr>
        <w:t xml:space="preserve"> the G-20</w:t>
      </w:r>
      <w:r w:rsidR="00092E25">
        <w:rPr>
          <w:rFonts w:ascii="Times New Roman" w:hAnsi="Times New Roman" w:cs="Times New Roman"/>
          <w:sz w:val="24"/>
        </w:rPr>
        <w:t>, MIKTA, and inter-regionally, with the Shanghai Cooperation Council</w:t>
      </w:r>
      <w:r w:rsidR="00A638A2">
        <w:rPr>
          <w:rFonts w:ascii="Times New Roman" w:hAnsi="Times New Roman" w:cs="Times New Roman"/>
          <w:sz w:val="24"/>
        </w:rPr>
        <w:t xml:space="preserve"> (SCO)</w:t>
      </w:r>
      <w:r w:rsidR="00CE1958">
        <w:rPr>
          <w:rFonts w:ascii="Times New Roman" w:hAnsi="Times New Roman" w:cs="Times New Roman"/>
          <w:sz w:val="24"/>
        </w:rPr>
        <w:t>)</w:t>
      </w:r>
      <w:r w:rsidR="00092E25">
        <w:rPr>
          <w:rFonts w:ascii="Times New Roman" w:hAnsi="Times New Roman" w:cs="Times New Roman"/>
          <w:sz w:val="24"/>
        </w:rPr>
        <w:t>. Some of this cooperation between rising powers has also bled over to efforts to reform existing global architecture (e.g. the G-4, seeking changes to the permanent members of the UN Security Council).</w:t>
      </w:r>
    </w:p>
    <w:p w14:paraId="479D4356" w14:textId="77777777" w:rsidR="00FD39DC" w:rsidRDefault="00A638A2" w:rsidP="0038722C">
      <w:pPr>
        <w:spacing w:line="480" w:lineRule="auto"/>
        <w:ind w:firstLine="720"/>
        <w:rPr>
          <w:rFonts w:ascii="Times New Roman" w:hAnsi="Times New Roman" w:cs="Times New Roman"/>
          <w:sz w:val="24"/>
        </w:rPr>
      </w:pPr>
      <w:r>
        <w:rPr>
          <w:rFonts w:ascii="Times New Roman" w:hAnsi="Times New Roman" w:cs="Times New Roman"/>
          <w:sz w:val="24"/>
        </w:rPr>
        <w:t xml:space="preserve">Yet, much of the </w:t>
      </w:r>
      <w:r w:rsidR="00627FB0">
        <w:rPr>
          <w:rFonts w:ascii="Times New Roman" w:hAnsi="Times New Roman" w:cs="Times New Roman"/>
          <w:sz w:val="24"/>
        </w:rPr>
        <w:t xml:space="preserve">formal </w:t>
      </w:r>
      <w:r>
        <w:rPr>
          <w:rFonts w:ascii="Times New Roman" w:hAnsi="Times New Roman" w:cs="Times New Roman"/>
          <w:sz w:val="24"/>
        </w:rPr>
        <w:t>architecture for global governance has remained in place following the end of the Cold War. Repeated efforts to reform the UN Security Council to reflect new realities have failed. While supplemental—and at times competing—efforts to create governance mechanisms at the regional level (Asian Development Bank, the SCO) have met with some success</w:t>
      </w:r>
      <w:r w:rsidR="00627FB0">
        <w:rPr>
          <w:rFonts w:ascii="Times New Roman" w:hAnsi="Times New Roman" w:cs="Times New Roman"/>
          <w:sz w:val="24"/>
        </w:rPr>
        <w:t xml:space="preserve">, less formal architectural creation at the global level (e.g. the BRICS and the G-20) have not dramatically altered global governance. Formal new architecture in the post-1989 era has either remained controversial with limited state participation (e.g. The International Criminal Court), or has worked as an extension of previous institutional arrangements (from the GATT to the WTO). Expansion of </w:t>
      </w:r>
      <w:r w:rsidR="003431C7">
        <w:rPr>
          <w:rFonts w:ascii="Times New Roman" w:hAnsi="Times New Roman" w:cs="Times New Roman"/>
          <w:sz w:val="24"/>
        </w:rPr>
        <w:t xml:space="preserve">security </w:t>
      </w:r>
      <w:r w:rsidR="00627FB0">
        <w:rPr>
          <w:rFonts w:ascii="Times New Roman" w:hAnsi="Times New Roman" w:cs="Times New Roman"/>
          <w:sz w:val="24"/>
        </w:rPr>
        <w:t>architecture, as in the case of NATO, have led to substantial resistance from those excluded from these mechanisms.</w:t>
      </w:r>
      <w:r w:rsidR="00DB6C66">
        <w:rPr>
          <w:rFonts w:ascii="Times New Roman" w:hAnsi="Times New Roman" w:cs="Times New Roman"/>
          <w:sz w:val="24"/>
        </w:rPr>
        <w:t xml:space="preserve"> </w:t>
      </w:r>
    </w:p>
    <w:p w14:paraId="2EC13CCA" w14:textId="6DB0C6B0" w:rsidR="00A638A2" w:rsidRDefault="00DB6C66" w:rsidP="0038722C">
      <w:pPr>
        <w:spacing w:line="480" w:lineRule="auto"/>
        <w:ind w:firstLine="720"/>
        <w:rPr>
          <w:rFonts w:ascii="Times New Roman" w:hAnsi="Times New Roman" w:cs="Times New Roman"/>
          <w:sz w:val="24"/>
        </w:rPr>
      </w:pPr>
      <w:r>
        <w:rPr>
          <w:rFonts w:ascii="Times New Roman" w:hAnsi="Times New Roman" w:cs="Times New Roman"/>
          <w:sz w:val="24"/>
        </w:rPr>
        <w:t xml:space="preserve">While it is clear that much of the global architecture, especially formal institutions, are in great need of repair or replacement, there has been </w:t>
      </w:r>
      <w:r w:rsidR="00FD39DC">
        <w:rPr>
          <w:rFonts w:ascii="Times New Roman" w:hAnsi="Times New Roman" w:cs="Times New Roman"/>
          <w:sz w:val="24"/>
        </w:rPr>
        <w:t xml:space="preserve">little in the way of collective action </w:t>
      </w:r>
      <w:r>
        <w:rPr>
          <w:rFonts w:ascii="Times New Roman" w:hAnsi="Times New Roman" w:cs="Times New Roman"/>
          <w:sz w:val="24"/>
        </w:rPr>
        <w:t xml:space="preserve">to address this issue. The patchwork approach to updating Cold War governance mechanisms has either </w:t>
      </w:r>
      <w:r>
        <w:rPr>
          <w:rFonts w:ascii="Times New Roman" w:hAnsi="Times New Roman" w:cs="Times New Roman"/>
          <w:sz w:val="24"/>
        </w:rPr>
        <w:lastRenderedPageBreak/>
        <w:t xml:space="preserve">been resisted by powers such as Russia (e.g. Kobayashi 2017), or more or less accepted by others like China (Summers 2016), as it has benefitted extensively from its accession to the WTO. </w:t>
      </w:r>
    </w:p>
    <w:p w14:paraId="1853A00A" w14:textId="7918EB5C" w:rsidR="008F5508" w:rsidRPr="000366CE" w:rsidRDefault="008F5508" w:rsidP="008F5508">
      <w:pPr>
        <w:spacing w:line="480" w:lineRule="auto"/>
        <w:rPr>
          <w:rFonts w:ascii="Times New Roman" w:hAnsi="Times New Roman" w:cs="Times New Roman"/>
          <w:i/>
          <w:sz w:val="24"/>
        </w:rPr>
      </w:pPr>
      <w:bookmarkStart w:id="2" w:name="_Hlk516586249"/>
      <w:r w:rsidRPr="000366CE">
        <w:rPr>
          <w:rFonts w:ascii="Times New Roman" w:hAnsi="Times New Roman" w:cs="Times New Roman"/>
          <w:i/>
          <w:sz w:val="24"/>
        </w:rPr>
        <w:t>Conclusion</w:t>
      </w:r>
    </w:p>
    <w:bookmarkEnd w:id="2"/>
    <w:p w14:paraId="493BEEF1" w14:textId="460FEBEB" w:rsidR="003C3E42" w:rsidRDefault="00594B2F" w:rsidP="003C3E42">
      <w:pPr>
        <w:spacing w:line="480" w:lineRule="auto"/>
        <w:rPr>
          <w:rFonts w:ascii="Times New Roman" w:hAnsi="Times New Roman" w:cs="Times New Roman"/>
          <w:sz w:val="24"/>
        </w:rPr>
      </w:pPr>
      <w:r>
        <w:rPr>
          <w:rFonts w:ascii="Times New Roman" w:hAnsi="Times New Roman" w:cs="Times New Roman"/>
          <w:sz w:val="24"/>
        </w:rPr>
        <w:tab/>
      </w:r>
      <w:r w:rsidR="00275B9A">
        <w:rPr>
          <w:rFonts w:ascii="Times New Roman" w:hAnsi="Times New Roman" w:cs="Times New Roman"/>
          <w:sz w:val="24"/>
        </w:rPr>
        <w:t xml:space="preserve">Our effort here </w:t>
      </w:r>
      <w:r w:rsidR="003C3E42">
        <w:rPr>
          <w:rFonts w:ascii="Times New Roman" w:hAnsi="Times New Roman" w:cs="Times New Roman"/>
          <w:sz w:val="24"/>
        </w:rPr>
        <w:t xml:space="preserve">does not offer a definitive conclusion to the debates surrounding rising powers, their status, nor the potential implications </w:t>
      </w:r>
      <w:r w:rsidR="009060A9">
        <w:rPr>
          <w:rFonts w:ascii="Times New Roman" w:hAnsi="Times New Roman" w:cs="Times New Roman"/>
          <w:sz w:val="24"/>
        </w:rPr>
        <w:t>of status competition for</w:t>
      </w:r>
      <w:r w:rsidR="003C3E42">
        <w:rPr>
          <w:rFonts w:ascii="Times New Roman" w:hAnsi="Times New Roman" w:cs="Times New Roman"/>
          <w:sz w:val="24"/>
        </w:rPr>
        <w:t xml:space="preserve"> global governance</w:t>
      </w:r>
      <w:r w:rsidR="008256BD">
        <w:rPr>
          <w:rFonts w:ascii="Times New Roman" w:hAnsi="Times New Roman" w:cs="Times New Roman"/>
          <w:sz w:val="24"/>
        </w:rPr>
        <w:t>.</w:t>
      </w:r>
      <w:r w:rsidR="003C3E42">
        <w:rPr>
          <w:rFonts w:ascii="Times New Roman" w:hAnsi="Times New Roman" w:cs="Times New Roman"/>
          <w:sz w:val="24"/>
        </w:rPr>
        <w:t xml:space="preserve"> </w:t>
      </w:r>
      <w:r>
        <w:rPr>
          <w:rFonts w:ascii="Times New Roman" w:hAnsi="Times New Roman" w:cs="Times New Roman"/>
          <w:sz w:val="24"/>
        </w:rPr>
        <w:t xml:space="preserve">Rather, it has aimed to highlight the complexity of these topics among international politics, and ideally provided an additional </w:t>
      </w:r>
      <w:r w:rsidR="00A94F25">
        <w:rPr>
          <w:rFonts w:ascii="Times New Roman" w:hAnsi="Times New Roman" w:cs="Times New Roman"/>
          <w:sz w:val="24"/>
        </w:rPr>
        <w:t xml:space="preserve">assessment from which further research can expand </w:t>
      </w:r>
      <w:r w:rsidR="00275B9A">
        <w:rPr>
          <w:rFonts w:ascii="Times New Roman" w:hAnsi="Times New Roman" w:cs="Times New Roman"/>
          <w:sz w:val="24"/>
        </w:rPr>
        <w:t>and its contribution to our extant knowledge base can be evaluated.</w:t>
      </w:r>
      <w:r w:rsidR="00A94F25">
        <w:rPr>
          <w:rFonts w:ascii="Times New Roman" w:hAnsi="Times New Roman" w:cs="Times New Roman"/>
          <w:sz w:val="24"/>
        </w:rPr>
        <w:t xml:space="preserve"> </w:t>
      </w:r>
      <w:r w:rsidR="003C3E42">
        <w:rPr>
          <w:rFonts w:ascii="Times New Roman" w:hAnsi="Times New Roman" w:cs="Times New Roman"/>
          <w:sz w:val="24"/>
        </w:rPr>
        <w:t xml:space="preserve">As we have discussed, the notion of a ‘rising’ power is clearly understood in a number of different ways. Since rising depends on the context at hand, which states </w:t>
      </w:r>
      <w:r w:rsidR="00275B9A">
        <w:rPr>
          <w:rFonts w:ascii="Times New Roman" w:hAnsi="Times New Roman" w:cs="Times New Roman"/>
          <w:sz w:val="24"/>
        </w:rPr>
        <w:t xml:space="preserve">can be categorized </w:t>
      </w:r>
      <w:r w:rsidR="003C3E42">
        <w:rPr>
          <w:rFonts w:ascii="Times New Roman" w:hAnsi="Times New Roman" w:cs="Times New Roman"/>
          <w:sz w:val="24"/>
        </w:rPr>
        <w:t>as rising powers</w:t>
      </w:r>
      <w:r w:rsidR="00275B9A">
        <w:rPr>
          <w:rFonts w:ascii="Times New Roman" w:hAnsi="Times New Roman" w:cs="Times New Roman"/>
          <w:sz w:val="24"/>
        </w:rPr>
        <w:t>, which are relatively stable in their trajectory, and which are declining</w:t>
      </w:r>
      <w:r w:rsidR="009060A9">
        <w:rPr>
          <w:rFonts w:ascii="Times New Roman" w:hAnsi="Times New Roman" w:cs="Times New Roman"/>
          <w:sz w:val="24"/>
        </w:rPr>
        <w:t xml:space="preserve"> </w:t>
      </w:r>
      <w:r w:rsidR="003C3E42">
        <w:rPr>
          <w:rFonts w:ascii="Times New Roman" w:hAnsi="Times New Roman" w:cs="Times New Roman"/>
          <w:sz w:val="24"/>
        </w:rPr>
        <w:t xml:space="preserve">remains debatable. We have argued that the majority of states within this overall project, Brazil, China, India, Russia, and South Africa, already qualify as major or regional powers within the international political system. The extent to which they are rising </w:t>
      </w:r>
      <w:r w:rsidR="00275B9A">
        <w:rPr>
          <w:rFonts w:ascii="Times New Roman" w:hAnsi="Times New Roman" w:cs="Times New Roman"/>
          <w:sz w:val="24"/>
        </w:rPr>
        <w:t xml:space="preserve">or declining </w:t>
      </w:r>
      <w:r w:rsidR="003C3E42">
        <w:rPr>
          <w:rFonts w:ascii="Times New Roman" w:hAnsi="Times New Roman" w:cs="Times New Roman"/>
          <w:sz w:val="24"/>
        </w:rPr>
        <w:t xml:space="preserve">in a different manner (e.g. within the hierarchy of their particular status club, or from one grouping to another) is a different story. Nonetheless, these states at even a base level, stand apart from the other countries of interest for this project. </w:t>
      </w:r>
    </w:p>
    <w:p w14:paraId="23604545" w14:textId="6BDA64AC" w:rsidR="00275B9A" w:rsidRDefault="00275B9A" w:rsidP="003C3E42">
      <w:pPr>
        <w:spacing w:line="480" w:lineRule="auto"/>
        <w:rPr>
          <w:rFonts w:ascii="Times New Roman" w:hAnsi="Times New Roman" w:cs="Times New Roman"/>
          <w:sz w:val="24"/>
        </w:rPr>
      </w:pPr>
      <w:r>
        <w:rPr>
          <w:rFonts w:ascii="Times New Roman" w:hAnsi="Times New Roman" w:cs="Times New Roman"/>
          <w:sz w:val="24"/>
        </w:rPr>
        <w:tab/>
        <w:t>We do not believe that our concerns about rising, status maintaining, and status declining powers is a trivial one. In fact, the strategies needed, and the risks that states are willing to take for status purposes very much revolve around the “status of their status”</w:t>
      </w:r>
      <w:r w:rsidR="00847E9F">
        <w:rPr>
          <w:rFonts w:ascii="Times New Roman" w:hAnsi="Times New Roman" w:cs="Times New Roman"/>
          <w:sz w:val="24"/>
        </w:rPr>
        <w:t>.</w:t>
      </w:r>
      <w:r>
        <w:rPr>
          <w:rFonts w:ascii="Times New Roman" w:hAnsi="Times New Roman" w:cs="Times New Roman"/>
          <w:sz w:val="24"/>
        </w:rPr>
        <w:t xml:space="preserve"> </w:t>
      </w:r>
      <w:r w:rsidR="00847E9F">
        <w:rPr>
          <w:rFonts w:ascii="Times New Roman" w:hAnsi="Times New Roman" w:cs="Times New Roman"/>
          <w:sz w:val="24"/>
        </w:rPr>
        <w:t>T</w:t>
      </w:r>
      <w:r>
        <w:rPr>
          <w:rFonts w:ascii="Times New Roman" w:hAnsi="Times New Roman" w:cs="Times New Roman"/>
          <w:sz w:val="24"/>
        </w:rPr>
        <w:t>he risk-taking actions of the Russian Federation are dramatically different from the relative conservatism of the Chinese</w:t>
      </w:r>
      <w:r w:rsidR="00A906B0">
        <w:rPr>
          <w:rFonts w:ascii="Times New Roman" w:hAnsi="Times New Roman" w:cs="Times New Roman"/>
          <w:sz w:val="24"/>
        </w:rPr>
        <w:t>.</w:t>
      </w:r>
      <w:r w:rsidR="00847E9F">
        <w:rPr>
          <w:rFonts w:ascii="Times New Roman" w:hAnsi="Times New Roman" w:cs="Times New Roman"/>
          <w:sz w:val="24"/>
        </w:rPr>
        <w:t xml:space="preserve"> </w:t>
      </w:r>
      <w:r w:rsidR="008256BD">
        <w:rPr>
          <w:rFonts w:ascii="Times New Roman" w:hAnsi="Times New Roman" w:cs="Times New Roman"/>
          <w:sz w:val="24"/>
        </w:rPr>
        <w:t xml:space="preserve">These </w:t>
      </w:r>
      <w:r w:rsidR="00847E9F">
        <w:rPr>
          <w:rFonts w:ascii="Times New Roman" w:hAnsi="Times New Roman" w:cs="Times New Roman"/>
          <w:sz w:val="24"/>
        </w:rPr>
        <w:t xml:space="preserve">differences </w:t>
      </w:r>
      <w:r w:rsidR="008256BD">
        <w:rPr>
          <w:rFonts w:ascii="Times New Roman" w:hAnsi="Times New Roman" w:cs="Times New Roman"/>
          <w:sz w:val="24"/>
        </w:rPr>
        <w:t xml:space="preserve">are not, we claim, </w:t>
      </w:r>
      <w:r w:rsidR="00847E9F">
        <w:rPr>
          <w:rFonts w:ascii="Times New Roman" w:hAnsi="Times New Roman" w:cs="Times New Roman"/>
          <w:sz w:val="24"/>
        </w:rPr>
        <w:t xml:space="preserve">simply </w:t>
      </w:r>
      <w:r w:rsidR="008256BD">
        <w:rPr>
          <w:rFonts w:ascii="Times New Roman" w:hAnsi="Times New Roman" w:cs="Times New Roman"/>
          <w:sz w:val="24"/>
        </w:rPr>
        <w:t xml:space="preserve">historical or cultural </w:t>
      </w:r>
      <w:r w:rsidR="00847E9F">
        <w:rPr>
          <w:rFonts w:ascii="Times New Roman" w:hAnsi="Times New Roman" w:cs="Times New Roman"/>
          <w:sz w:val="24"/>
        </w:rPr>
        <w:t>in nature</w:t>
      </w:r>
      <w:r w:rsidR="008256BD">
        <w:rPr>
          <w:rFonts w:ascii="Times New Roman" w:hAnsi="Times New Roman" w:cs="Times New Roman"/>
          <w:sz w:val="24"/>
        </w:rPr>
        <w:t xml:space="preserve"> </w:t>
      </w:r>
      <w:r w:rsidR="00847E9F">
        <w:rPr>
          <w:rFonts w:ascii="Times New Roman" w:hAnsi="Times New Roman" w:cs="Times New Roman"/>
          <w:sz w:val="24"/>
        </w:rPr>
        <w:t xml:space="preserve">(e.g., </w:t>
      </w:r>
      <w:proofErr w:type="spellStart"/>
      <w:r w:rsidR="00847E9F">
        <w:rPr>
          <w:rFonts w:ascii="Times New Roman" w:hAnsi="Times New Roman" w:cs="Times New Roman"/>
          <w:sz w:val="24"/>
        </w:rPr>
        <w:t>Kotkin</w:t>
      </w:r>
      <w:proofErr w:type="spellEnd"/>
      <w:r w:rsidR="00847E9F">
        <w:rPr>
          <w:rFonts w:ascii="Times New Roman" w:hAnsi="Times New Roman" w:cs="Times New Roman"/>
          <w:sz w:val="24"/>
        </w:rPr>
        <w:t xml:space="preserve"> 2016, Freedman 2016) but have to do </w:t>
      </w:r>
      <w:r w:rsidR="008256BD">
        <w:rPr>
          <w:rFonts w:ascii="Times New Roman" w:hAnsi="Times New Roman" w:cs="Times New Roman"/>
          <w:sz w:val="24"/>
        </w:rPr>
        <w:t xml:space="preserve">as much </w:t>
      </w:r>
      <w:r w:rsidR="00847E9F">
        <w:rPr>
          <w:rFonts w:ascii="Times New Roman" w:hAnsi="Times New Roman" w:cs="Times New Roman"/>
          <w:sz w:val="24"/>
        </w:rPr>
        <w:t>with</w:t>
      </w:r>
      <w:r w:rsidR="008256BD">
        <w:rPr>
          <w:rFonts w:ascii="Times New Roman" w:hAnsi="Times New Roman" w:cs="Times New Roman"/>
          <w:sz w:val="24"/>
        </w:rPr>
        <w:t xml:space="preserve"> their respective </w:t>
      </w:r>
      <w:r w:rsidR="00847E9F">
        <w:rPr>
          <w:rFonts w:ascii="Times New Roman" w:hAnsi="Times New Roman" w:cs="Times New Roman"/>
          <w:sz w:val="24"/>
        </w:rPr>
        <w:t xml:space="preserve">current </w:t>
      </w:r>
      <w:r w:rsidR="008256BD">
        <w:rPr>
          <w:rFonts w:ascii="Times New Roman" w:hAnsi="Times New Roman" w:cs="Times New Roman"/>
          <w:sz w:val="24"/>
        </w:rPr>
        <w:t>trajectories and the</w:t>
      </w:r>
      <w:r w:rsidR="00847E9F">
        <w:rPr>
          <w:rFonts w:ascii="Times New Roman" w:hAnsi="Times New Roman" w:cs="Times New Roman"/>
          <w:sz w:val="24"/>
        </w:rPr>
        <w:t xml:space="preserve"> consequent</w:t>
      </w:r>
      <w:r w:rsidR="008256BD">
        <w:rPr>
          <w:rFonts w:ascii="Times New Roman" w:hAnsi="Times New Roman" w:cs="Times New Roman"/>
          <w:sz w:val="24"/>
        </w:rPr>
        <w:t xml:space="preserve"> risks their policy-makers are willing to take under these different circumstances.</w:t>
      </w:r>
    </w:p>
    <w:p w14:paraId="7C5EA4B3" w14:textId="34550436" w:rsidR="009C420B" w:rsidRDefault="003C3E42" w:rsidP="00962390">
      <w:pPr>
        <w:spacing w:line="480" w:lineRule="auto"/>
        <w:rPr>
          <w:rFonts w:ascii="Times New Roman" w:hAnsi="Times New Roman" w:cs="Times New Roman"/>
          <w:sz w:val="24"/>
        </w:rPr>
      </w:pPr>
      <w:r>
        <w:rPr>
          <w:rFonts w:ascii="Times New Roman" w:hAnsi="Times New Roman" w:cs="Times New Roman"/>
          <w:sz w:val="24"/>
        </w:rPr>
        <w:lastRenderedPageBreak/>
        <w:tab/>
      </w:r>
      <w:r w:rsidR="00847E9F">
        <w:rPr>
          <w:rFonts w:ascii="Times New Roman" w:hAnsi="Times New Roman" w:cs="Times New Roman"/>
          <w:sz w:val="24"/>
        </w:rPr>
        <w:t xml:space="preserve">We offer less certainty regarding Iranian and Turkish aspirations and the likelihood of their successes. </w:t>
      </w:r>
      <w:r>
        <w:rPr>
          <w:rFonts w:ascii="Times New Roman" w:hAnsi="Times New Roman" w:cs="Times New Roman"/>
          <w:sz w:val="24"/>
        </w:rPr>
        <w:t xml:space="preserve"> The extent to which we can distinguish particular countries as powers from the broader community of states largely depends on three components: opportunity, willingness, and competence. As rising powers, these two states have the potential to gain membership to a </w:t>
      </w:r>
      <w:r w:rsidR="008256BD">
        <w:rPr>
          <w:rFonts w:ascii="Times New Roman" w:hAnsi="Times New Roman" w:cs="Times New Roman"/>
          <w:sz w:val="24"/>
        </w:rPr>
        <w:t xml:space="preserve">high status-generating club. </w:t>
      </w:r>
      <w:r w:rsidR="009060A9">
        <w:rPr>
          <w:rFonts w:ascii="Times New Roman" w:hAnsi="Times New Roman" w:cs="Times New Roman"/>
          <w:sz w:val="24"/>
        </w:rPr>
        <w:t xml:space="preserve">To do so, however, would require, even for regional power status, not only a vast commitment to increasing their economic and military clout, but as well a substantial commitment to their region of interest (the Middle East, presumably). Even then, regional power status would only be conferred if one of the two would substantially exceed the other both in capabilities and activism in the region. </w:t>
      </w:r>
      <w:r w:rsidR="00092EF8">
        <w:rPr>
          <w:rFonts w:ascii="Times New Roman" w:hAnsi="Times New Roman" w:cs="Times New Roman"/>
          <w:sz w:val="24"/>
        </w:rPr>
        <w:t>That is not likely in the near future: the costs</w:t>
      </w:r>
      <w:r w:rsidR="009C420B">
        <w:rPr>
          <w:rFonts w:ascii="Times New Roman" w:hAnsi="Times New Roman" w:cs="Times New Roman"/>
          <w:sz w:val="24"/>
        </w:rPr>
        <w:t>, both</w:t>
      </w:r>
      <w:r w:rsidR="00092EF8">
        <w:rPr>
          <w:rFonts w:ascii="Times New Roman" w:hAnsi="Times New Roman" w:cs="Times New Roman"/>
          <w:sz w:val="24"/>
        </w:rPr>
        <w:t xml:space="preserve"> domestic and international, would be too high for such a status</w:t>
      </w:r>
      <w:r w:rsidR="009C420B">
        <w:rPr>
          <w:rFonts w:ascii="Times New Roman" w:hAnsi="Times New Roman" w:cs="Times New Roman"/>
          <w:sz w:val="24"/>
        </w:rPr>
        <w:t xml:space="preserve"> </w:t>
      </w:r>
      <w:r w:rsidR="00092EF8">
        <w:rPr>
          <w:rFonts w:ascii="Times New Roman" w:hAnsi="Times New Roman" w:cs="Times New Roman"/>
          <w:sz w:val="24"/>
        </w:rPr>
        <w:t xml:space="preserve">race. </w:t>
      </w:r>
    </w:p>
    <w:p w14:paraId="4EE2ECBD" w14:textId="41234D28" w:rsidR="00A40F49" w:rsidRDefault="00A906B0" w:rsidP="000A3708">
      <w:pPr>
        <w:spacing w:line="480" w:lineRule="auto"/>
        <w:ind w:firstLine="720"/>
        <w:rPr>
          <w:rFonts w:ascii="Times New Roman" w:hAnsi="Times New Roman" w:cs="Times New Roman"/>
          <w:sz w:val="24"/>
        </w:rPr>
      </w:pPr>
      <w:r>
        <w:rPr>
          <w:rFonts w:ascii="Times New Roman" w:hAnsi="Times New Roman" w:cs="Times New Roman"/>
          <w:sz w:val="24"/>
        </w:rPr>
        <w:t>W</w:t>
      </w:r>
      <w:r w:rsidR="00513206">
        <w:rPr>
          <w:rFonts w:ascii="Times New Roman" w:hAnsi="Times New Roman" w:cs="Times New Roman"/>
          <w:sz w:val="24"/>
        </w:rPr>
        <w:t xml:space="preserve">hat </w:t>
      </w:r>
      <w:r w:rsidR="009C420B">
        <w:rPr>
          <w:rFonts w:ascii="Times New Roman" w:hAnsi="Times New Roman" w:cs="Times New Roman"/>
          <w:sz w:val="24"/>
        </w:rPr>
        <w:t xml:space="preserve">would such a status race mean for governance, especially regional governance in the Middle East? The role of rising powers, as they navigate between the givens of their regions and the pressures of global governance, is uncertain </w:t>
      </w:r>
      <w:r w:rsidR="00275B9A">
        <w:rPr>
          <w:rFonts w:ascii="Times New Roman" w:hAnsi="Times New Roman" w:cs="Times New Roman"/>
          <w:sz w:val="24"/>
        </w:rPr>
        <w:t xml:space="preserve">(e.g. </w:t>
      </w:r>
      <w:proofErr w:type="spellStart"/>
      <w:r w:rsidR="00275B9A">
        <w:rPr>
          <w:rFonts w:ascii="Times New Roman" w:hAnsi="Times New Roman" w:cs="Times New Roman"/>
          <w:sz w:val="24"/>
        </w:rPr>
        <w:t>Desrati</w:t>
      </w:r>
      <w:proofErr w:type="spellEnd"/>
      <w:r w:rsidR="00275B9A">
        <w:rPr>
          <w:rFonts w:ascii="Times New Roman" w:hAnsi="Times New Roman" w:cs="Times New Roman"/>
          <w:sz w:val="24"/>
        </w:rPr>
        <w:t xml:space="preserve"> et al. 2018)</w:t>
      </w:r>
      <w:r w:rsidR="0069470D">
        <w:rPr>
          <w:rFonts w:ascii="Times New Roman" w:hAnsi="Times New Roman" w:cs="Times New Roman"/>
          <w:sz w:val="24"/>
        </w:rPr>
        <w:t xml:space="preserve">. </w:t>
      </w:r>
      <w:r>
        <w:rPr>
          <w:rFonts w:ascii="Times New Roman" w:hAnsi="Times New Roman" w:cs="Times New Roman"/>
          <w:sz w:val="24"/>
        </w:rPr>
        <w:t>In the case of Iran and Turkey, their limitations are not the only issue. These two states (along with several other Middle Eastern countries)</w:t>
      </w:r>
      <w:r w:rsidR="00513206">
        <w:rPr>
          <w:rFonts w:ascii="Times New Roman" w:hAnsi="Times New Roman" w:cs="Times New Roman"/>
          <w:sz w:val="24"/>
        </w:rPr>
        <w:t xml:space="preserve"> are </w:t>
      </w:r>
      <w:r w:rsidR="00A40F49">
        <w:rPr>
          <w:rFonts w:ascii="Times New Roman" w:hAnsi="Times New Roman" w:cs="Times New Roman"/>
          <w:sz w:val="24"/>
        </w:rPr>
        <w:t xml:space="preserve">also substantially constrained in a region with several regional power pretenders that also lack the capabilities to dominate the region, but are caught in a dense set of rivalries that make it exceedingly difficult for them not to resist the rise of a regional power </w:t>
      </w:r>
      <w:r w:rsidR="00A94F25">
        <w:rPr>
          <w:rFonts w:ascii="Times New Roman" w:hAnsi="Times New Roman" w:cs="Times New Roman"/>
          <w:sz w:val="24"/>
        </w:rPr>
        <w:t>(Volgy et al. 2017</w:t>
      </w:r>
      <w:r w:rsidR="00513206">
        <w:rPr>
          <w:rFonts w:ascii="Times New Roman" w:hAnsi="Times New Roman" w:cs="Times New Roman"/>
          <w:sz w:val="24"/>
        </w:rPr>
        <w:t xml:space="preserve">). </w:t>
      </w:r>
    </w:p>
    <w:p w14:paraId="69E10FEC" w14:textId="69D2ECF5" w:rsidR="00746DF4" w:rsidRDefault="009B632A" w:rsidP="000A3708">
      <w:pPr>
        <w:spacing w:line="480" w:lineRule="auto"/>
        <w:ind w:firstLine="720"/>
        <w:rPr>
          <w:rFonts w:ascii="Times New Roman" w:hAnsi="Times New Roman" w:cs="Times New Roman"/>
          <w:sz w:val="24"/>
        </w:rPr>
      </w:pPr>
      <w:r>
        <w:rPr>
          <w:rFonts w:ascii="Times New Roman" w:hAnsi="Times New Roman" w:cs="Times New Roman"/>
          <w:sz w:val="24"/>
        </w:rPr>
        <w:t>One major lesson</w:t>
      </w:r>
      <w:r w:rsidR="00A40F49">
        <w:rPr>
          <w:rFonts w:ascii="Times New Roman" w:hAnsi="Times New Roman" w:cs="Times New Roman"/>
          <w:sz w:val="24"/>
        </w:rPr>
        <w:t xml:space="preserve"> of the post-Cold War era, with respect to global governance, has been that it is far easier to create new regional institutions than to create global ones (</w:t>
      </w:r>
      <w:r w:rsidR="00B51CB6">
        <w:rPr>
          <w:rFonts w:ascii="Times New Roman" w:hAnsi="Times New Roman" w:cs="Times New Roman"/>
          <w:sz w:val="24"/>
        </w:rPr>
        <w:t>Volgy et al. 2009). No wonder then, that much of the new formal architectural construction since 1990 has been regional in scope, in Latin America (Brazil), Southern Africa (South Africa) post-Soviet space (Russia), and Asia (China). Turkey and I</w:t>
      </w:r>
      <w:r>
        <w:rPr>
          <w:rFonts w:ascii="Times New Roman" w:hAnsi="Times New Roman" w:cs="Times New Roman"/>
          <w:sz w:val="24"/>
        </w:rPr>
        <w:t>ran</w:t>
      </w:r>
      <w:r w:rsidR="00B51CB6">
        <w:rPr>
          <w:rFonts w:ascii="Times New Roman" w:hAnsi="Times New Roman" w:cs="Times New Roman"/>
          <w:sz w:val="24"/>
        </w:rPr>
        <w:t xml:space="preserve"> face different challenges in their region: there </w:t>
      </w:r>
      <w:r w:rsidR="00B51CB6">
        <w:rPr>
          <w:rFonts w:ascii="Times New Roman" w:hAnsi="Times New Roman" w:cs="Times New Roman"/>
          <w:sz w:val="24"/>
        </w:rPr>
        <w:lastRenderedPageBreak/>
        <w:t>is no other region as conflict-ridden and filled with as many strategic rivalries as the Middle East (Volgy and Gordell 2018), making regional governance exceedingly difficult, even if there was a dominant power.</w:t>
      </w:r>
      <w:r w:rsidR="00B51CB6">
        <w:rPr>
          <w:rStyle w:val="FootnoteReference"/>
          <w:rFonts w:ascii="Times New Roman" w:hAnsi="Times New Roman" w:cs="Times New Roman"/>
          <w:sz w:val="24"/>
        </w:rPr>
        <w:footnoteReference w:id="17"/>
      </w:r>
      <w:r w:rsidR="00C72594">
        <w:rPr>
          <w:rFonts w:ascii="Times New Roman" w:hAnsi="Times New Roman" w:cs="Times New Roman"/>
          <w:sz w:val="24"/>
        </w:rPr>
        <w:t xml:space="preserve"> </w:t>
      </w:r>
      <w:r w:rsidR="00962390">
        <w:rPr>
          <w:rFonts w:ascii="Times New Roman" w:hAnsi="Times New Roman" w:cs="Times New Roman"/>
          <w:sz w:val="24"/>
        </w:rPr>
        <w:t xml:space="preserve">Ultimately, the inability of rising powers to effectively establish new architecture within this environment suggests </w:t>
      </w:r>
      <w:r w:rsidR="00C72594">
        <w:rPr>
          <w:rFonts w:ascii="Times New Roman" w:hAnsi="Times New Roman" w:cs="Times New Roman"/>
          <w:sz w:val="24"/>
        </w:rPr>
        <w:t xml:space="preserve">they </w:t>
      </w:r>
      <w:r>
        <w:rPr>
          <w:rFonts w:ascii="Times New Roman" w:hAnsi="Times New Roman" w:cs="Times New Roman"/>
          <w:sz w:val="24"/>
        </w:rPr>
        <w:t xml:space="preserve">need to keep this track record in mind when evaluating their status-seeking strategies. </w:t>
      </w:r>
      <w:r w:rsidR="00C72594">
        <w:rPr>
          <w:rFonts w:ascii="Times New Roman" w:hAnsi="Times New Roman" w:cs="Times New Roman"/>
          <w:sz w:val="24"/>
        </w:rPr>
        <w:t xml:space="preserve"> </w:t>
      </w:r>
    </w:p>
    <w:p w14:paraId="1ECE52A9" w14:textId="5BD95575" w:rsidR="00962390" w:rsidRDefault="000A3708" w:rsidP="00FD39DC">
      <w:pPr>
        <w:spacing w:line="480" w:lineRule="auto"/>
        <w:ind w:firstLine="720"/>
        <w:rPr>
          <w:rFonts w:ascii="Times New Roman" w:hAnsi="Times New Roman" w:cs="Times New Roman"/>
          <w:sz w:val="24"/>
        </w:rPr>
      </w:pPr>
      <w:r>
        <w:rPr>
          <w:rFonts w:ascii="Times New Roman" w:hAnsi="Times New Roman" w:cs="Times New Roman"/>
          <w:sz w:val="24"/>
        </w:rPr>
        <w:t xml:space="preserve">Nevertheless, rising powers may pursue status seeking strategies in part by demanding and offering new global architecture to </w:t>
      </w:r>
      <w:r w:rsidR="00962390">
        <w:rPr>
          <w:rFonts w:ascii="Times New Roman" w:hAnsi="Times New Roman" w:cs="Times New Roman"/>
          <w:sz w:val="24"/>
        </w:rPr>
        <w:t>replace previous mechanisms</w:t>
      </w:r>
      <w:r>
        <w:rPr>
          <w:rFonts w:ascii="Times New Roman" w:hAnsi="Times New Roman" w:cs="Times New Roman"/>
          <w:sz w:val="24"/>
        </w:rPr>
        <w:t>. Russian, Chinese, Indian, South African, and Iranian policy makers have at times critiqued and at times offered alternative architectural arrangements to replace the status quo, but</w:t>
      </w:r>
      <w:r w:rsidR="00962390">
        <w:rPr>
          <w:rFonts w:ascii="Times New Roman" w:hAnsi="Times New Roman" w:cs="Times New Roman"/>
          <w:sz w:val="24"/>
        </w:rPr>
        <w:t xml:space="preserve"> have been less than successful in pursuing their goals, and it is questionable whether or not their status has been positive</w:t>
      </w:r>
      <w:r w:rsidR="009B632A">
        <w:rPr>
          <w:rFonts w:ascii="Times New Roman" w:hAnsi="Times New Roman" w:cs="Times New Roman"/>
          <w:sz w:val="24"/>
        </w:rPr>
        <w:t>ly</w:t>
      </w:r>
      <w:r w:rsidR="00962390">
        <w:rPr>
          <w:rFonts w:ascii="Times New Roman" w:hAnsi="Times New Roman" w:cs="Times New Roman"/>
          <w:sz w:val="24"/>
        </w:rPr>
        <w:t xml:space="preserve"> impacted through these efforts. Ironically, the most amount of upheaval to these </w:t>
      </w:r>
      <w:r>
        <w:rPr>
          <w:rFonts w:ascii="Times New Roman" w:hAnsi="Times New Roman" w:cs="Times New Roman"/>
          <w:sz w:val="24"/>
        </w:rPr>
        <w:t xml:space="preserve">global </w:t>
      </w:r>
      <w:r w:rsidR="00962390">
        <w:rPr>
          <w:rFonts w:ascii="Times New Roman" w:hAnsi="Times New Roman" w:cs="Times New Roman"/>
          <w:sz w:val="24"/>
        </w:rPr>
        <w:t>governance institutions ha</w:t>
      </w:r>
      <w:r w:rsidR="00275B9A">
        <w:rPr>
          <w:rFonts w:ascii="Times New Roman" w:hAnsi="Times New Roman" w:cs="Times New Roman"/>
          <w:sz w:val="24"/>
        </w:rPr>
        <w:t>s</w:t>
      </w:r>
      <w:r w:rsidR="00962390">
        <w:rPr>
          <w:rFonts w:ascii="Times New Roman" w:hAnsi="Times New Roman" w:cs="Times New Roman"/>
          <w:sz w:val="24"/>
        </w:rPr>
        <w:t xml:space="preserve"> come from the change in the political leadership of the state that may have most benefitted from the status quo</w:t>
      </w:r>
      <w:r w:rsidR="009B632A">
        <w:rPr>
          <w:rFonts w:ascii="Times New Roman" w:hAnsi="Times New Roman" w:cs="Times New Roman"/>
          <w:sz w:val="24"/>
        </w:rPr>
        <w:t xml:space="preserve"> and extant architectural arrangements</w:t>
      </w:r>
      <w:r w:rsidR="00962390">
        <w:rPr>
          <w:rFonts w:ascii="Times New Roman" w:hAnsi="Times New Roman" w:cs="Times New Roman"/>
          <w:sz w:val="24"/>
        </w:rPr>
        <w:t xml:space="preserve">: the United States. </w:t>
      </w:r>
      <w:r w:rsidR="009B632A">
        <w:rPr>
          <w:rFonts w:ascii="Times New Roman" w:hAnsi="Times New Roman" w:cs="Times New Roman"/>
          <w:sz w:val="24"/>
        </w:rPr>
        <w:t>T</w:t>
      </w:r>
      <w:r w:rsidR="00962390">
        <w:rPr>
          <w:rFonts w:ascii="Times New Roman" w:hAnsi="Times New Roman" w:cs="Times New Roman"/>
          <w:sz w:val="24"/>
        </w:rPr>
        <w:t>he Trump administration’s assault on the WTO, NATO, the Paris Climate Conference, the United Nations</w:t>
      </w:r>
      <w:r w:rsidR="00275B9A">
        <w:rPr>
          <w:rFonts w:ascii="Times New Roman" w:hAnsi="Times New Roman" w:cs="Times New Roman"/>
          <w:sz w:val="24"/>
        </w:rPr>
        <w:t>,</w:t>
      </w:r>
      <w:r w:rsidR="00962390">
        <w:rPr>
          <w:rFonts w:ascii="Times New Roman" w:hAnsi="Times New Roman" w:cs="Times New Roman"/>
          <w:sz w:val="24"/>
        </w:rPr>
        <w:t xml:space="preserve"> the European Union</w:t>
      </w:r>
      <w:r w:rsidR="00275B9A">
        <w:rPr>
          <w:rFonts w:ascii="Times New Roman" w:hAnsi="Times New Roman" w:cs="Times New Roman"/>
          <w:sz w:val="24"/>
        </w:rPr>
        <w:t xml:space="preserve"> and NAFTA</w:t>
      </w:r>
      <w:r w:rsidR="009B632A">
        <w:rPr>
          <w:rFonts w:ascii="Times New Roman" w:hAnsi="Times New Roman" w:cs="Times New Roman"/>
          <w:sz w:val="24"/>
        </w:rPr>
        <w:t xml:space="preserve"> are some of these instances</w:t>
      </w:r>
      <w:r w:rsidR="00962390">
        <w:rPr>
          <w:rFonts w:ascii="Times New Roman" w:hAnsi="Times New Roman" w:cs="Times New Roman"/>
          <w:sz w:val="24"/>
        </w:rPr>
        <w:t xml:space="preserve">. How rising powers adapt to the aftermath of the American assault on these institutions, and what the status implications are for them in doing so remains a large question mark. </w:t>
      </w:r>
      <w:r>
        <w:rPr>
          <w:rFonts w:ascii="Times New Roman" w:hAnsi="Times New Roman" w:cs="Times New Roman"/>
          <w:sz w:val="24"/>
        </w:rPr>
        <w:t xml:space="preserve">It may be less status competition around global governance by </w:t>
      </w:r>
      <w:proofErr w:type="spellStart"/>
      <w:r>
        <w:rPr>
          <w:rFonts w:ascii="Times New Roman" w:hAnsi="Times New Roman" w:cs="Times New Roman"/>
          <w:sz w:val="24"/>
        </w:rPr>
        <w:t>risisg</w:t>
      </w:r>
      <w:proofErr w:type="spellEnd"/>
      <w:r>
        <w:rPr>
          <w:rFonts w:ascii="Times New Roman" w:hAnsi="Times New Roman" w:cs="Times New Roman"/>
          <w:sz w:val="24"/>
        </w:rPr>
        <w:t xml:space="preserve"> power and more by the damage done to increasingly fragile </w:t>
      </w:r>
      <w:r w:rsidR="007F234E">
        <w:rPr>
          <w:rFonts w:ascii="Times New Roman" w:hAnsi="Times New Roman" w:cs="Times New Roman"/>
          <w:sz w:val="24"/>
        </w:rPr>
        <w:t xml:space="preserve">global </w:t>
      </w:r>
      <w:r>
        <w:rPr>
          <w:rFonts w:ascii="Times New Roman" w:hAnsi="Times New Roman" w:cs="Times New Roman"/>
          <w:sz w:val="24"/>
        </w:rPr>
        <w:t xml:space="preserve">institutions by the U.S. that may be most critical. The Trump administration’s direction suggests the gravest of </w:t>
      </w:r>
      <w:r w:rsidR="00D85FC2">
        <w:rPr>
          <w:rFonts w:ascii="Times New Roman" w:hAnsi="Times New Roman" w:cs="Times New Roman"/>
          <w:sz w:val="24"/>
        </w:rPr>
        <w:t xml:space="preserve">consequences for global and regional governance as other world leaders stand apart from the actions and rhetoric of the current U.S. </w:t>
      </w:r>
      <w:r w:rsidR="00D85FC2">
        <w:rPr>
          <w:rFonts w:ascii="Times New Roman" w:hAnsi="Times New Roman" w:cs="Times New Roman"/>
          <w:sz w:val="24"/>
        </w:rPr>
        <w:lastRenderedPageBreak/>
        <w:t>administration</w:t>
      </w:r>
      <w:r w:rsidR="00847E9F">
        <w:rPr>
          <w:rFonts w:ascii="Times New Roman" w:hAnsi="Times New Roman" w:cs="Times New Roman"/>
          <w:sz w:val="24"/>
        </w:rPr>
        <w:t xml:space="preserve"> (or just as likely seek to exploit them)</w:t>
      </w:r>
      <w:r w:rsidR="00D85FC2">
        <w:rPr>
          <w:rFonts w:ascii="Times New Roman" w:hAnsi="Times New Roman" w:cs="Times New Roman"/>
          <w:sz w:val="24"/>
        </w:rPr>
        <w:t xml:space="preserve">, </w:t>
      </w:r>
      <w:r>
        <w:rPr>
          <w:rFonts w:ascii="Times New Roman" w:hAnsi="Times New Roman" w:cs="Times New Roman"/>
          <w:sz w:val="24"/>
        </w:rPr>
        <w:t>thrusting</w:t>
      </w:r>
      <w:r w:rsidR="00D85FC2">
        <w:rPr>
          <w:rFonts w:ascii="Times New Roman" w:hAnsi="Times New Roman" w:cs="Times New Roman"/>
          <w:sz w:val="24"/>
        </w:rPr>
        <w:t xml:space="preserve"> the dynamics in the </w:t>
      </w:r>
      <w:r w:rsidR="00816DD9">
        <w:rPr>
          <w:rFonts w:ascii="Times New Roman" w:hAnsi="Times New Roman" w:cs="Times New Roman"/>
          <w:sz w:val="24"/>
        </w:rPr>
        <w:t xml:space="preserve">existing </w:t>
      </w:r>
      <w:r>
        <w:rPr>
          <w:rFonts w:ascii="Times New Roman" w:hAnsi="Times New Roman" w:cs="Times New Roman"/>
          <w:sz w:val="24"/>
        </w:rPr>
        <w:t>inter-</w:t>
      </w:r>
      <w:r w:rsidR="00816DD9">
        <w:rPr>
          <w:rFonts w:ascii="Times New Roman" w:hAnsi="Times New Roman" w:cs="Times New Roman"/>
          <w:sz w:val="24"/>
        </w:rPr>
        <w:t>state relationships</w:t>
      </w:r>
      <w:r>
        <w:rPr>
          <w:rFonts w:ascii="Times New Roman" w:hAnsi="Times New Roman" w:cs="Times New Roman"/>
          <w:sz w:val="24"/>
        </w:rPr>
        <w:t xml:space="preserve"> into the great unknown</w:t>
      </w:r>
      <w:r w:rsidR="00816DD9">
        <w:rPr>
          <w:rFonts w:ascii="Times New Roman" w:hAnsi="Times New Roman" w:cs="Times New Roman"/>
          <w:sz w:val="24"/>
        </w:rPr>
        <w:t xml:space="preserve">. </w:t>
      </w:r>
    </w:p>
    <w:p w14:paraId="17E29672" w14:textId="77777777" w:rsidR="00617B4F" w:rsidRDefault="00617B4F">
      <w:pPr>
        <w:rPr>
          <w:rFonts w:ascii="Times New Roman" w:hAnsi="Times New Roman" w:cs="Times New Roman"/>
          <w:sz w:val="24"/>
        </w:rPr>
      </w:pPr>
      <w:r>
        <w:rPr>
          <w:rFonts w:ascii="Times New Roman" w:hAnsi="Times New Roman" w:cs="Times New Roman"/>
          <w:sz w:val="24"/>
        </w:rPr>
        <w:br w:type="page"/>
      </w:r>
    </w:p>
    <w:p w14:paraId="16400990" w14:textId="51C586DF" w:rsidR="00C13156" w:rsidRPr="00706B00" w:rsidRDefault="00C13156" w:rsidP="00513E61">
      <w:pPr>
        <w:spacing w:line="480" w:lineRule="auto"/>
        <w:rPr>
          <w:rFonts w:ascii="Times New Roman" w:hAnsi="Times New Roman" w:cs="Times New Roman"/>
          <w:b/>
          <w:sz w:val="24"/>
          <w:szCs w:val="24"/>
        </w:rPr>
      </w:pPr>
      <w:r w:rsidRPr="00706B00">
        <w:rPr>
          <w:rFonts w:ascii="Times New Roman" w:hAnsi="Times New Roman" w:cs="Times New Roman"/>
          <w:b/>
          <w:sz w:val="24"/>
          <w:szCs w:val="24"/>
        </w:rPr>
        <w:lastRenderedPageBreak/>
        <w:t>References</w:t>
      </w:r>
    </w:p>
    <w:p w14:paraId="056BF526" w14:textId="3191CE90" w:rsidR="00513E61" w:rsidRDefault="00513E61" w:rsidP="005861CD">
      <w:pPr>
        <w:rPr>
          <w:rFonts w:ascii="Times New Roman" w:hAnsi="Times New Roman" w:cs="Times New Roman"/>
          <w:sz w:val="24"/>
          <w:szCs w:val="24"/>
        </w:rPr>
      </w:pPr>
      <w:proofErr w:type="spellStart"/>
      <w:r>
        <w:rPr>
          <w:rFonts w:ascii="Times New Roman" w:hAnsi="Times New Roman" w:cs="Times New Roman"/>
          <w:sz w:val="24"/>
          <w:szCs w:val="24"/>
        </w:rPr>
        <w:t>Basrur</w:t>
      </w:r>
      <w:proofErr w:type="spellEnd"/>
      <w:r>
        <w:rPr>
          <w:rFonts w:ascii="Times New Roman" w:hAnsi="Times New Roman" w:cs="Times New Roman"/>
          <w:sz w:val="24"/>
          <w:szCs w:val="24"/>
        </w:rPr>
        <w:t xml:space="preserve">, Rajesh. 2011. “India: A Major Power in the Making.” In Volgy, Corbetta, Grant, and Baird (eds.), </w:t>
      </w:r>
      <w:r w:rsidRPr="00513E61">
        <w:rPr>
          <w:rFonts w:ascii="Times New Roman" w:hAnsi="Times New Roman" w:cs="Times New Roman"/>
          <w:i/>
          <w:sz w:val="24"/>
          <w:szCs w:val="24"/>
        </w:rPr>
        <w:t>Major Powers and the Quest for Status in International Politics</w:t>
      </w:r>
      <w:r>
        <w:rPr>
          <w:rFonts w:ascii="Times New Roman" w:hAnsi="Times New Roman" w:cs="Times New Roman"/>
          <w:sz w:val="24"/>
          <w:szCs w:val="24"/>
        </w:rPr>
        <w:t>. New York: Palgrave MacMillan.</w:t>
      </w:r>
    </w:p>
    <w:p w14:paraId="41AE2E46" w14:textId="2A738BF2" w:rsidR="007D30FF" w:rsidRPr="007D30FF" w:rsidRDefault="007D30FF" w:rsidP="005861CD">
      <w:pPr>
        <w:rPr>
          <w:rFonts w:ascii="Times New Roman" w:hAnsi="Times New Roman" w:cs="Times New Roman"/>
          <w:sz w:val="24"/>
          <w:szCs w:val="24"/>
        </w:rPr>
      </w:pPr>
      <w:r>
        <w:rPr>
          <w:rFonts w:ascii="Times New Roman" w:hAnsi="Times New Roman" w:cs="Times New Roman"/>
          <w:sz w:val="24"/>
          <w:szCs w:val="24"/>
        </w:rPr>
        <w:t xml:space="preserve">Bezerra, Paul, Jacob Cramer, Megan Hauser, Jennifer L. Miller, and Thomas J. Volgy. 2015. “Going for the Gold versus Distributing the Green: Foreign Policy Substitutability and Complementarity in Status Enhancement Strategies.” </w:t>
      </w:r>
      <w:r>
        <w:rPr>
          <w:rFonts w:ascii="Times New Roman" w:hAnsi="Times New Roman" w:cs="Times New Roman"/>
          <w:i/>
          <w:sz w:val="24"/>
          <w:szCs w:val="24"/>
        </w:rPr>
        <w:t xml:space="preserve">Foreign Policy Analysis </w:t>
      </w:r>
      <w:r>
        <w:rPr>
          <w:rFonts w:ascii="Times New Roman" w:hAnsi="Times New Roman" w:cs="Times New Roman"/>
          <w:sz w:val="24"/>
          <w:szCs w:val="24"/>
        </w:rPr>
        <w:t>11.3: 253-272.</w:t>
      </w:r>
    </w:p>
    <w:p w14:paraId="5341755A" w14:textId="6D9EF00C" w:rsidR="005861CD" w:rsidRPr="00A87CB9" w:rsidRDefault="005861CD" w:rsidP="005861CD">
      <w:pPr>
        <w:rPr>
          <w:rFonts w:ascii="Times New Roman" w:hAnsi="Times New Roman" w:cs="Times New Roman"/>
          <w:sz w:val="24"/>
          <w:szCs w:val="24"/>
        </w:rPr>
      </w:pPr>
      <w:r w:rsidRPr="00CF5E87">
        <w:rPr>
          <w:rFonts w:ascii="Times New Roman" w:hAnsi="Times New Roman" w:cs="Times New Roman"/>
          <w:sz w:val="24"/>
          <w:szCs w:val="24"/>
        </w:rPr>
        <w:t xml:space="preserve">Cline, </w:t>
      </w:r>
      <w:proofErr w:type="spellStart"/>
      <w:r w:rsidRPr="00CF5E87">
        <w:rPr>
          <w:rFonts w:ascii="Times New Roman" w:hAnsi="Times New Roman" w:cs="Times New Roman"/>
          <w:sz w:val="24"/>
          <w:szCs w:val="24"/>
        </w:rPr>
        <w:t>Kirssa</w:t>
      </w:r>
      <w:proofErr w:type="spellEnd"/>
      <w:r w:rsidRPr="00CF5E87">
        <w:rPr>
          <w:rFonts w:ascii="Times New Roman" w:hAnsi="Times New Roman" w:cs="Times New Roman"/>
          <w:sz w:val="24"/>
          <w:szCs w:val="24"/>
        </w:rPr>
        <w:t xml:space="preserve">, Patrick Rhamey, Alexis </w:t>
      </w:r>
      <w:proofErr w:type="spellStart"/>
      <w:r w:rsidRPr="00CF5E87">
        <w:rPr>
          <w:rFonts w:ascii="Times New Roman" w:hAnsi="Times New Roman" w:cs="Times New Roman"/>
          <w:sz w:val="24"/>
          <w:szCs w:val="24"/>
        </w:rPr>
        <w:t>Henshaw</w:t>
      </w:r>
      <w:proofErr w:type="spellEnd"/>
      <w:r w:rsidRPr="00CF5E87">
        <w:rPr>
          <w:rFonts w:ascii="Times New Roman" w:hAnsi="Times New Roman" w:cs="Times New Roman"/>
          <w:sz w:val="24"/>
          <w:szCs w:val="24"/>
        </w:rPr>
        <w:t xml:space="preserve">, </w:t>
      </w:r>
      <w:proofErr w:type="spellStart"/>
      <w:r w:rsidRPr="00CF5E87">
        <w:rPr>
          <w:rFonts w:ascii="Times New Roman" w:hAnsi="Times New Roman" w:cs="Times New Roman"/>
          <w:sz w:val="24"/>
          <w:szCs w:val="24"/>
        </w:rPr>
        <w:t>Alesia</w:t>
      </w:r>
      <w:proofErr w:type="spellEnd"/>
      <w:r w:rsidRPr="00CF5E87">
        <w:rPr>
          <w:rFonts w:ascii="Times New Roman" w:hAnsi="Times New Roman" w:cs="Times New Roman"/>
          <w:sz w:val="24"/>
          <w:szCs w:val="24"/>
        </w:rPr>
        <w:t xml:space="preserve"> </w:t>
      </w:r>
      <w:proofErr w:type="spellStart"/>
      <w:r w:rsidRPr="00CF5E87">
        <w:rPr>
          <w:rFonts w:ascii="Times New Roman" w:hAnsi="Times New Roman" w:cs="Times New Roman"/>
          <w:sz w:val="24"/>
          <w:szCs w:val="24"/>
        </w:rPr>
        <w:t>Sedziaka</w:t>
      </w:r>
      <w:proofErr w:type="spellEnd"/>
      <w:r w:rsidRPr="00CF5E87">
        <w:rPr>
          <w:rFonts w:ascii="Times New Roman" w:hAnsi="Times New Roman" w:cs="Times New Roman"/>
          <w:sz w:val="24"/>
          <w:szCs w:val="24"/>
        </w:rPr>
        <w:t xml:space="preserve">, </w:t>
      </w:r>
      <w:proofErr w:type="spellStart"/>
      <w:r w:rsidRPr="00CF5E87">
        <w:rPr>
          <w:rFonts w:ascii="Times New Roman" w:hAnsi="Times New Roman" w:cs="Times New Roman"/>
          <w:sz w:val="24"/>
          <w:szCs w:val="24"/>
        </w:rPr>
        <w:t>Aakriti</w:t>
      </w:r>
      <w:proofErr w:type="spellEnd"/>
      <w:r w:rsidRPr="00CF5E87">
        <w:rPr>
          <w:rFonts w:ascii="Times New Roman" w:hAnsi="Times New Roman" w:cs="Times New Roman"/>
          <w:sz w:val="24"/>
          <w:szCs w:val="24"/>
        </w:rPr>
        <w:t xml:space="preserve"> </w:t>
      </w:r>
      <w:proofErr w:type="spellStart"/>
      <w:r w:rsidRPr="00CF5E87">
        <w:rPr>
          <w:rFonts w:ascii="Times New Roman" w:hAnsi="Times New Roman" w:cs="Times New Roman"/>
          <w:sz w:val="24"/>
          <w:szCs w:val="24"/>
        </w:rPr>
        <w:t>Tandon</w:t>
      </w:r>
      <w:proofErr w:type="spellEnd"/>
      <w:r w:rsidRPr="00CF5E87">
        <w:rPr>
          <w:rFonts w:ascii="Times New Roman" w:hAnsi="Times New Roman" w:cs="Times New Roman"/>
          <w:sz w:val="24"/>
          <w:szCs w:val="24"/>
        </w:rPr>
        <w:t>, and Thomas J. Volgy. 2011. “Identifying Regional Powers and Their Status.” In Volgy, Corbetta, Grant, and Baird (eds.), </w:t>
      </w:r>
      <w:r w:rsidRPr="00CF5E87">
        <w:rPr>
          <w:rFonts w:ascii="Times New Roman" w:hAnsi="Times New Roman" w:cs="Times New Roman"/>
          <w:i/>
          <w:iCs/>
          <w:sz w:val="24"/>
          <w:szCs w:val="24"/>
          <w:bdr w:val="none" w:sz="0" w:space="0" w:color="auto" w:frame="1"/>
        </w:rPr>
        <w:t>Major Powers and the Quest for Status in International Politics</w:t>
      </w:r>
      <w:r w:rsidRPr="00CF5E87">
        <w:rPr>
          <w:rFonts w:ascii="Times New Roman" w:hAnsi="Times New Roman" w:cs="Times New Roman"/>
          <w:sz w:val="24"/>
          <w:szCs w:val="24"/>
        </w:rPr>
        <w:t>. New York: Palgrave MacMillan.</w:t>
      </w:r>
    </w:p>
    <w:p w14:paraId="52040C96" w14:textId="0100AA34" w:rsidR="00A26D56" w:rsidRDefault="00A26D56" w:rsidP="00C13156">
      <w:pPr>
        <w:rPr>
          <w:rFonts w:ascii="Times New Roman" w:hAnsi="Times New Roman" w:cs="Times New Roman"/>
          <w:sz w:val="24"/>
          <w:szCs w:val="24"/>
        </w:rPr>
      </w:pPr>
      <w:r>
        <w:rPr>
          <w:rFonts w:ascii="Times New Roman" w:hAnsi="Times New Roman" w:cs="Times New Roman"/>
          <w:sz w:val="24"/>
          <w:szCs w:val="24"/>
        </w:rPr>
        <w:t xml:space="preserve">Defoe, Allan, Jonathan </w:t>
      </w:r>
      <w:proofErr w:type="spellStart"/>
      <w:r>
        <w:rPr>
          <w:rFonts w:ascii="Times New Roman" w:hAnsi="Times New Roman" w:cs="Times New Roman"/>
          <w:sz w:val="24"/>
          <w:szCs w:val="24"/>
        </w:rPr>
        <w:t>Renshon</w:t>
      </w:r>
      <w:proofErr w:type="spellEnd"/>
      <w:r>
        <w:rPr>
          <w:rFonts w:ascii="Times New Roman" w:hAnsi="Times New Roman" w:cs="Times New Roman"/>
          <w:sz w:val="24"/>
          <w:szCs w:val="24"/>
        </w:rPr>
        <w:t xml:space="preserve">, and Paul </w:t>
      </w:r>
      <w:proofErr w:type="spellStart"/>
      <w:r>
        <w:rPr>
          <w:rFonts w:ascii="Times New Roman" w:hAnsi="Times New Roman" w:cs="Times New Roman"/>
          <w:sz w:val="24"/>
          <w:szCs w:val="24"/>
        </w:rPr>
        <w:t>Huth</w:t>
      </w:r>
      <w:proofErr w:type="spellEnd"/>
      <w:r>
        <w:rPr>
          <w:rFonts w:ascii="Times New Roman" w:hAnsi="Times New Roman" w:cs="Times New Roman"/>
          <w:sz w:val="24"/>
          <w:szCs w:val="24"/>
        </w:rPr>
        <w:t xml:space="preserve">. 2014. “Reputation and status as motives for war. </w:t>
      </w:r>
      <w:r w:rsidRPr="00A26D56">
        <w:rPr>
          <w:rFonts w:ascii="Times New Roman" w:hAnsi="Times New Roman" w:cs="Times New Roman"/>
          <w:i/>
          <w:sz w:val="24"/>
          <w:szCs w:val="24"/>
        </w:rPr>
        <w:t>Annual Review of Political Science</w:t>
      </w:r>
      <w:r>
        <w:rPr>
          <w:rFonts w:ascii="Times New Roman" w:hAnsi="Times New Roman" w:cs="Times New Roman"/>
          <w:sz w:val="24"/>
          <w:szCs w:val="24"/>
        </w:rPr>
        <w:t>, 17, 371-393.</w:t>
      </w:r>
    </w:p>
    <w:p w14:paraId="6F0E45F3" w14:textId="70DCB0DE" w:rsidR="00450CDF" w:rsidRDefault="00450CDF" w:rsidP="00C13156">
      <w:pPr>
        <w:rPr>
          <w:rFonts w:ascii="Times New Roman" w:hAnsi="Times New Roman" w:cs="Times New Roman"/>
          <w:sz w:val="24"/>
          <w:szCs w:val="24"/>
        </w:rPr>
      </w:pPr>
      <w:r>
        <w:rPr>
          <w:rFonts w:ascii="Times New Roman" w:hAnsi="Times New Roman" w:cs="Times New Roman"/>
          <w:sz w:val="24"/>
          <w:szCs w:val="24"/>
        </w:rPr>
        <w:t xml:space="preserve">Deng, Yong. 2008. </w:t>
      </w:r>
      <w:r w:rsidRPr="00450CDF">
        <w:rPr>
          <w:rFonts w:ascii="Times New Roman" w:hAnsi="Times New Roman" w:cs="Times New Roman"/>
          <w:i/>
          <w:sz w:val="24"/>
          <w:szCs w:val="24"/>
        </w:rPr>
        <w:t>China’s Struggle for Status: The realignment of international Relations</w:t>
      </w:r>
      <w:r>
        <w:rPr>
          <w:rFonts w:ascii="Times New Roman" w:hAnsi="Times New Roman" w:cs="Times New Roman"/>
          <w:sz w:val="24"/>
          <w:szCs w:val="24"/>
        </w:rPr>
        <w:t>. Cambridge: Cambridge University Press.</w:t>
      </w:r>
    </w:p>
    <w:p w14:paraId="5D7A160E" w14:textId="14A12EF5" w:rsidR="00461E93" w:rsidRDefault="00461E93" w:rsidP="00C13156">
      <w:pPr>
        <w:rPr>
          <w:rFonts w:ascii="Times New Roman" w:hAnsi="Times New Roman" w:cs="Times New Roman"/>
          <w:sz w:val="24"/>
          <w:szCs w:val="24"/>
        </w:rPr>
      </w:pPr>
      <w:proofErr w:type="spellStart"/>
      <w:r>
        <w:rPr>
          <w:rFonts w:ascii="Times New Roman" w:hAnsi="Times New Roman" w:cs="Times New Roman"/>
          <w:sz w:val="24"/>
          <w:szCs w:val="24"/>
        </w:rPr>
        <w:t>Desrati</w:t>
      </w:r>
      <w:proofErr w:type="spellEnd"/>
      <w:r>
        <w:rPr>
          <w:rFonts w:ascii="Times New Roman" w:hAnsi="Times New Roman" w:cs="Times New Roman"/>
          <w:sz w:val="24"/>
          <w:szCs w:val="24"/>
        </w:rPr>
        <w:t xml:space="preserve">, Sandra, </w:t>
      </w:r>
      <w:proofErr w:type="spellStart"/>
      <w:r>
        <w:rPr>
          <w:rFonts w:ascii="Times New Roman" w:hAnsi="Times New Roman" w:cs="Times New Roman"/>
          <w:sz w:val="24"/>
          <w:szCs w:val="24"/>
        </w:rPr>
        <w:t>Detlef</w:t>
      </w:r>
      <w:proofErr w:type="spellEnd"/>
      <w:r>
        <w:rPr>
          <w:rFonts w:ascii="Times New Roman" w:hAnsi="Times New Roman" w:cs="Times New Roman"/>
          <w:sz w:val="24"/>
          <w:szCs w:val="24"/>
        </w:rPr>
        <w:t xml:space="preserve"> Nolte, and Miriam </w:t>
      </w:r>
      <w:proofErr w:type="spellStart"/>
      <w:r>
        <w:rPr>
          <w:rFonts w:ascii="Times New Roman" w:hAnsi="Times New Roman" w:cs="Times New Roman"/>
          <w:sz w:val="24"/>
          <w:szCs w:val="24"/>
        </w:rPr>
        <w:t>Prys</w:t>
      </w:r>
      <w:proofErr w:type="spellEnd"/>
      <w:r>
        <w:rPr>
          <w:rFonts w:ascii="Times New Roman" w:hAnsi="Times New Roman" w:cs="Times New Roman"/>
          <w:sz w:val="24"/>
          <w:szCs w:val="24"/>
        </w:rPr>
        <w:t>-Hansen. 2018. “Regional Powers Still Matter!” GIGA Focus, Global, 2, May, 1-10.</w:t>
      </w:r>
    </w:p>
    <w:p w14:paraId="715FDE14" w14:textId="68ECFF1A" w:rsidR="00DC60F5" w:rsidRPr="00DC60F5" w:rsidRDefault="00DC60F5" w:rsidP="00C13156">
      <w:pPr>
        <w:rPr>
          <w:rFonts w:ascii="Times New Roman" w:hAnsi="Times New Roman" w:cs="Times New Roman"/>
          <w:sz w:val="24"/>
          <w:szCs w:val="24"/>
        </w:rPr>
      </w:pPr>
      <w:r>
        <w:rPr>
          <w:rFonts w:ascii="Times New Roman" w:hAnsi="Times New Roman" w:cs="Times New Roman"/>
          <w:sz w:val="24"/>
          <w:szCs w:val="24"/>
        </w:rPr>
        <w:t xml:space="preserve">Duque, Marina G. 2018. “Recognizing International Status: A Relational Approach.” </w:t>
      </w:r>
      <w:r>
        <w:rPr>
          <w:rFonts w:ascii="Times New Roman" w:hAnsi="Times New Roman" w:cs="Times New Roman"/>
          <w:i/>
          <w:sz w:val="24"/>
          <w:szCs w:val="24"/>
        </w:rPr>
        <w:t>International Studies Quarterl</w:t>
      </w:r>
      <w:r w:rsidRPr="00DC60F5">
        <w:rPr>
          <w:rFonts w:ascii="Times New Roman" w:hAnsi="Times New Roman" w:cs="Times New Roman"/>
          <w:i/>
          <w:sz w:val="24"/>
          <w:szCs w:val="24"/>
        </w:rPr>
        <w:t>y</w:t>
      </w:r>
      <w:r w:rsidR="000F70CE">
        <w:rPr>
          <w:rFonts w:ascii="Times New Roman" w:hAnsi="Times New Roman" w:cs="Times New Roman"/>
          <w:color w:val="2A2A2A"/>
          <w:sz w:val="24"/>
          <w:szCs w:val="24"/>
          <w:shd w:val="clear" w:color="auto" w:fill="FFFFFF"/>
        </w:rPr>
        <w:t>.</w:t>
      </w:r>
      <w:r w:rsidRPr="000F70CE">
        <w:rPr>
          <w:rFonts w:ascii="Times New Roman" w:hAnsi="Times New Roman" w:cs="Times New Roman"/>
          <w:color w:val="2A2A2A"/>
          <w:sz w:val="24"/>
          <w:szCs w:val="24"/>
          <w:shd w:val="clear" w:color="auto" w:fill="FFFFFF"/>
        </w:rPr>
        <w:t> </w:t>
      </w:r>
      <w:hyperlink r:id="rId18" w:history="1">
        <w:r w:rsidRPr="000F70CE">
          <w:rPr>
            <w:rStyle w:val="Hyperlink"/>
            <w:rFonts w:ascii="Times New Roman" w:hAnsi="Times New Roman" w:cs="Times New Roman"/>
            <w:color w:val="006FB7"/>
            <w:sz w:val="24"/>
            <w:szCs w:val="24"/>
            <w:bdr w:val="none" w:sz="0" w:space="0" w:color="auto" w:frame="1"/>
            <w:shd w:val="clear" w:color="auto" w:fill="FFFFFF"/>
          </w:rPr>
          <w:t>https://doi.org/10.1093/isq/sqy001</w:t>
        </w:r>
      </w:hyperlink>
    </w:p>
    <w:p w14:paraId="3E8EA433" w14:textId="1E49AF01" w:rsidR="000E65A1" w:rsidRDefault="00504BB5" w:rsidP="00C13156">
      <w:pPr>
        <w:rPr>
          <w:rFonts w:ascii="Times New Roman" w:hAnsi="Times New Roman" w:cs="Times New Roman"/>
          <w:sz w:val="24"/>
          <w:szCs w:val="24"/>
        </w:rPr>
      </w:pPr>
      <w:r>
        <w:rPr>
          <w:rFonts w:ascii="Times New Roman" w:hAnsi="Times New Roman" w:cs="Times New Roman"/>
          <w:sz w:val="24"/>
          <w:szCs w:val="24"/>
        </w:rPr>
        <w:t>East, Maurice</w:t>
      </w:r>
      <w:r w:rsidR="000E65A1">
        <w:rPr>
          <w:rFonts w:ascii="Times New Roman" w:hAnsi="Times New Roman" w:cs="Times New Roman"/>
          <w:sz w:val="24"/>
          <w:szCs w:val="24"/>
        </w:rPr>
        <w:t xml:space="preserve"> A</w:t>
      </w:r>
      <w:r>
        <w:rPr>
          <w:rFonts w:ascii="Times New Roman" w:hAnsi="Times New Roman" w:cs="Times New Roman"/>
          <w:sz w:val="24"/>
          <w:szCs w:val="24"/>
        </w:rPr>
        <w:t xml:space="preserve">. </w:t>
      </w:r>
      <w:r w:rsidR="000E65A1">
        <w:rPr>
          <w:rFonts w:ascii="Times New Roman" w:hAnsi="Times New Roman" w:cs="Times New Roman"/>
          <w:sz w:val="24"/>
          <w:szCs w:val="24"/>
        </w:rPr>
        <w:t>1972. “Status Discrepancy and Violence in the International System.” In James N. Rosenau, Victor Davis, and Maurice A. East (eds.), The Analysis of International Politics. New York: Free Press.</w:t>
      </w:r>
    </w:p>
    <w:p w14:paraId="26CDE4BD" w14:textId="560951A9" w:rsidR="00EB2EEB" w:rsidRDefault="00EB2EEB" w:rsidP="00C13156">
      <w:pPr>
        <w:rPr>
          <w:rFonts w:ascii="Times New Roman" w:hAnsi="Times New Roman" w:cs="Times New Roman"/>
          <w:sz w:val="24"/>
          <w:szCs w:val="24"/>
        </w:rPr>
      </w:pPr>
      <w:r>
        <w:rPr>
          <w:rFonts w:ascii="Times New Roman" w:hAnsi="Times New Roman" w:cs="Times New Roman"/>
          <w:sz w:val="24"/>
          <w:szCs w:val="24"/>
        </w:rPr>
        <w:t>Fisher-</w:t>
      </w:r>
      <w:proofErr w:type="spellStart"/>
      <w:r>
        <w:rPr>
          <w:rFonts w:ascii="Times New Roman" w:hAnsi="Times New Roman" w:cs="Times New Roman"/>
          <w:sz w:val="24"/>
          <w:szCs w:val="24"/>
        </w:rPr>
        <w:t>Onar</w:t>
      </w:r>
      <w:proofErr w:type="spellEnd"/>
      <w:r>
        <w:rPr>
          <w:rFonts w:ascii="Times New Roman" w:hAnsi="Times New Roman" w:cs="Times New Roman"/>
          <w:sz w:val="24"/>
          <w:szCs w:val="24"/>
        </w:rPr>
        <w:t>, Nora. 2018. “Western Decline, Resurgent Eurasia and Realism: Is Conflict Really Inevitable?” Paper prepared for the annual meeting of the International Studies Association (San Francisco), April.</w:t>
      </w:r>
    </w:p>
    <w:p w14:paraId="03BBAB8F" w14:textId="496D1F79" w:rsidR="00C13156" w:rsidRPr="00C13156" w:rsidRDefault="00C13156" w:rsidP="00C13156">
      <w:pPr>
        <w:rPr>
          <w:rFonts w:ascii="Times New Roman" w:hAnsi="Times New Roman" w:cs="Times New Roman"/>
          <w:sz w:val="24"/>
          <w:szCs w:val="24"/>
        </w:rPr>
      </w:pPr>
      <w:r w:rsidRPr="00C13156">
        <w:rPr>
          <w:rFonts w:ascii="Times New Roman" w:hAnsi="Times New Roman" w:cs="Times New Roman"/>
          <w:sz w:val="24"/>
          <w:szCs w:val="24"/>
        </w:rPr>
        <w:t xml:space="preserve">Freedman, Joshua. 2016. “Status Insecurity and Temporality in World Politics.”  </w:t>
      </w:r>
      <w:r w:rsidRPr="00C13156">
        <w:rPr>
          <w:rFonts w:ascii="Times New Roman" w:hAnsi="Times New Roman" w:cs="Times New Roman"/>
          <w:i/>
          <w:sz w:val="24"/>
          <w:szCs w:val="24"/>
        </w:rPr>
        <w:t>European Journal of International Relations</w:t>
      </w:r>
      <w:r w:rsidRPr="00C13156">
        <w:rPr>
          <w:rFonts w:ascii="Times New Roman" w:hAnsi="Times New Roman" w:cs="Times New Roman"/>
          <w:sz w:val="24"/>
          <w:szCs w:val="24"/>
        </w:rPr>
        <w:t>, 22, 4: 797-822.</w:t>
      </w:r>
    </w:p>
    <w:p w14:paraId="0218ABC4" w14:textId="7A87DE16" w:rsidR="000E65A1" w:rsidRDefault="000E65A1" w:rsidP="00C13156">
      <w:pPr>
        <w:rPr>
          <w:rFonts w:ascii="Times New Roman" w:hAnsi="Times New Roman" w:cs="Times New Roman"/>
          <w:sz w:val="24"/>
          <w:szCs w:val="24"/>
        </w:rPr>
      </w:pPr>
      <w:proofErr w:type="spellStart"/>
      <w:r>
        <w:rPr>
          <w:rFonts w:ascii="Times New Roman" w:hAnsi="Times New Roman" w:cs="Times New Roman"/>
          <w:sz w:val="24"/>
          <w:szCs w:val="24"/>
        </w:rPr>
        <w:t>Gochman</w:t>
      </w:r>
      <w:proofErr w:type="spellEnd"/>
      <w:r>
        <w:rPr>
          <w:rFonts w:ascii="Times New Roman" w:hAnsi="Times New Roman" w:cs="Times New Roman"/>
          <w:sz w:val="24"/>
          <w:szCs w:val="24"/>
        </w:rPr>
        <w:t xml:space="preserve">, Charles S. 1980. “Status, Capabilities and Major Power Conflict. In J.D. Singer (ed.) </w:t>
      </w:r>
      <w:r w:rsidRPr="000E65A1">
        <w:rPr>
          <w:rFonts w:ascii="Times New Roman" w:hAnsi="Times New Roman" w:cs="Times New Roman"/>
          <w:i/>
          <w:sz w:val="24"/>
          <w:szCs w:val="24"/>
        </w:rPr>
        <w:t>The Correlates of War II: Testing Some Realpolitik Models</w:t>
      </w:r>
      <w:r>
        <w:rPr>
          <w:rFonts w:ascii="Times New Roman" w:hAnsi="Times New Roman" w:cs="Times New Roman"/>
          <w:sz w:val="24"/>
          <w:szCs w:val="24"/>
        </w:rPr>
        <w:t>. New York: The Free Press.</w:t>
      </w:r>
    </w:p>
    <w:p w14:paraId="495FF2F2" w14:textId="1F751C00" w:rsidR="001B0360" w:rsidRDefault="001B0360" w:rsidP="00C13156">
      <w:pPr>
        <w:rPr>
          <w:rFonts w:ascii="Times New Roman" w:hAnsi="Times New Roman" w:cs="Times New Roman"/>
          <w:sz w:val="24"/>
          <w:szCs w:val="24"/>
        </w:rPr>
      </w:pPr>
      <w:r>
        <w:rPr>
          <w:rFonts w:ascii="Times New Roman" w:hAnsi="Times New Roman" w:cs="Times New Roman"/>
          <w:sz w:val="24"/>
          <w:szCs w:val="24"/>
        </w:rPr>
        <w:t xml:space="preserve">The Guardian. 2014. “Barack Obama: Russia is a Regional Power Showing Weakness Over Ukraine.” Retrieved 5/28/18, at: </w:t>
      </w:r>
      <w:hyperlink r:id="rId19" w:history="1">
        <w:r w:rsidRPr="00E068FA">
          <w:rPr>
            <w:rStyle w:val="Hyperlink"/>
            <w:rFonts w:ascii="Times New Roman" w:hAnsi="Times New Roman" w:cs="Times New Roman"/>
            <w:sz w:val="24"/>
            <w:szCs w:val="24"/>
          </w:rPr>
          <w:t>https://www.theguardian.com/world/2014/mar/25/barack-obama-russia-regional-power-ukraine-weakness</w:t>
        </w:r>
      </w:hyperlink>
    </w:p>
    <w:p w14:paraId="3089F328" w14:textId="6F167F88" w:rsidR="00951E93" w:rsidRDefault="00951E93" w:rsidP="00C13156">
      <w:pPr>
        <w:rPr>
          <w:rFonts w:ascii="Times New Roman" w:hAnsi="Times New Roman" w:cs="Times New Roman"/>
          <w:sz w:val="24"/>
          <w:szCs w:val="24"/>
        </w:rPr>
      </w:pPr>
      <w:proofErr w:type="spellStart"/>
      <w:r>
        <w:rPr>
          <w:rFonts w:ascii="Times New Roman" w:hAnsi="Times New Roman" w:cs="Times New Roman"/>
          <w:sz w:val="24"/>
          <w:szCs w:val="24"/>
        </w:rPr>
        <w:t>Herz</w:t>
      </w:r>
      <w:proofErr w:type="spellEnd"/>
      <w:r w:rsidR="00FE5F50">
        <w:rPr>
          <w:rFonts w:ascii="Times New Roman" w:hAnsi="Times New Roman" w:cs="Times New Roman"/>
          <w:sz w:val="24"/>
          <w:szCs w:val="24"/>
        </w:rPr>
        <w:t xml:space="preserve">, Monica. 2011. “Brazil: Major Power in the Making?” In </w:t>
      </w:r>
      <w:r w:rsidR="00FE5F50" w:rsidRPr="00CF5E87">
        <w:rPr>
          <w:rFonts w:ascii="Times New Roman" w:hAnsi="Times New Roman" w:cs="Times New Roman"/>
          <w:sz w:val="24"/>
          <w:szCs w:val="24"/>
        </w:rPr>
        <w:t>Volgy, Corbetta, Grant, and Baird (eds.), </w:t>
      </w:r>
      <w:r w:rsidR="00FE5F50" w:rsidRPr="00CF5E87">
        <w:rPr>
          <w:rFonts w:ascii="Times New Roman" w:hAnsi="Times New Roman" w:cs="Times New Roman"/>
          <w:i/>
          <w:iCs/>
          <w:sz w:val="24"/>
          <w:szCs w:val="24"/>
          <w:bdr w:val="none" w:sz="0" w:space="0" w:color="auto" w:frame="1"/>
        </w:rPr>
        <w:t>Major Powers and the Quest for Status in International Politics</w:t>
      </w:r>
      <w:r w:rsidR="00FE5F50">
        <w:rPr>
          <w:rFonts w:ascii="Times New Roman" w:hAnsi="Times New Roman" w:cs="Times New Roman"/>
          <w:sz w:val="24"/>
          <w:szCs w:val="24"/>
        </w:rPr>
        <w:t>. New York: Palgrave MacMillan.</w:t>
      </w:r>
    </w:p>
    <w:p w14:paraId="63412514" w14:textId="03961AAC" w:rsidR="00186A23" w:rsidRDefault="000E65A1" w:rsidP="00C13156">
      <w:pPr>
        <w:rPr>
          <w:rFonts w:ascii="Times New Roman" w:hAnsi="Times New Roman" w:cs="Times New Roman"/>
          <w:sz w:val="24"/>
          <w:szCs w:val="24"/>
        </w:rPr>
      </w:pPr>
      <w:proofErr w:type="spellStart"/>
      <w:r>
        <w:rPr>
          <w:rFonts w:ascii="Times New Roman" w:hAnsi="Times New Roman" w:cs="Times New Roman"/>
          <w:sz w:val="24"/>
          <w:szCs w:val="24"/>
        </w:rPr>
        <w:lastRenderedPageBreak/>
        <w:t>Kinne</w:t>
      </w:r>
      <w:proofErr w:type="spellEnd"/>
      <w:r>
        <w:rPr>
          <w:rFonts w:ascii="Times New Roman" w:hAnsi="Times New Roman" w:cs="Times New Roman"/>
          <w:sz w:val="24"/>
          <w:szCs w:val="24"/>
        </w:rPr>
        <w:t>, B.J. 2014. “Dependent Diplomacy: Signaling, Strategy, and Prestige in the Diplomatic N</w:t>
      </w:r>
      <w:r w:rsidR="00186A23">
        <w:rPr>
          <w:rFonts w:ascii="Times New Roman" w:hAnsi="Times New Roman" w:cs="Times New Roman"/>
          <w:sz w:val="24"/>
          <w:szCs w:val="24"/>
        </w:rPr>
        <w:t xml:space="preserve">etwork.” </w:t>
      </w:r>
      <w:r w:rsidR="00186A23" w:rsidRPr="00186A23">
        <w:rPr>
          <w:rFonts w:ascii="Times New Roman" w:hAnsi="Times New Roman" w:cs="Times New Roman"/>
          <w:i/>
          <w:sz w:val="24"/>
          <w:szCs w:val="24"/>
        </w:rPr>
        <w:t>International Studies Quarterly</w:t>
      </w:r>
      <w:r w:rsidR="00186A23">
        <w:rPr>
          <w:rFonts w:ascii="Times New Roman" w:hAnsi="Times New Roman" w:cs="Times New Roman"/>
          <w:sz w:val="24"/>
          <w:szCs w:val="24"/>
        </w:rPr>
        <w:t xml:space="preserve"> 58, 2: 247-59.</w:t>
      </w:r>
    </w:p>
    <w:p w14:paraId="0454C14C" w14:textId="1A78E4C3" w:rsidR="003431C7" w:rsidRDefault="003431C7" w:rsidP="00C13156">
      <w:pPr>
        <w:rPr>
          <w:rFonts w:ascii="Times New Roman" w:hAnsi="Times New Roman" w:cs="Times New Roman"/>
          <w:sz w:val="24"/>
          <w:szCs w:val="24"/>
        </w:rPr>
      </w:pPr>
      <w:r>
        <w:rPr>
          <w:rFonts w:ascii="Times New Roman" w:hAnsi="Times New Roman" w:cs="Times New Roman"/>
          <w:sz w:val="24"/>
          <w:szCs w:val="24"/>
        </w:rPr>
        <w:t>Kobayashi, Kazushige. 2017. “Whose Global Governance? Explaining the Evolution of Russia’s Approach</w:t>
      </w:r>
      <w:r w:rsidR="00B41496">
        <w:rPr>
          <w:rFonts w:ascii="Times New Roman" w:hAnsi="Times New Roman" w:cs="Times New Roman"/>
          <w:sz w:val="24"/>
          <w:szCs w:val="24"/>
        </w:rPr>
        <w:t xml:space="preserve"> </w:t>
      </w:r>
      <w:r>
        <w:rPr>
          <w:rFonts w:ascii="Times New Roman" w:hAnsi="Times New Roman" w:cs="Times New Roman"/>
          <w:sz w:val="24"/>
          <w:szCs w:val="24"/>
        </w:rPr>
        <w:t xml:space="preserve">to Global Governance, 1945-2016.” </w:t>
      </w:r>
      <w:r w:rsidRPr="003431C7">
        <w:rPr>
          <w:rFonts w:ascii="Times New Roman" w:hAnsi="Times New Roman" w:cs="Times New Roman"/>
          <w:i/>
          <w:sz w:val="24"/>
          <w:szCs w:val="24"/>
        </w:rPr>
        <w:t>Rising Powers Quarterly</w:t>
      </w:r>
      <w:r>
        <w:rPr>
          <w:rFonts w:ascii="Times New Roman" w:hAnsi="Times New Roman" w:cs="Times New Roman"/>
          <w:sz w:val="24"/>
          <w:szCs w:val="24"/>
        </w:rPr>
        <w:t xml:space="preserve"> 2, 1: 183-209. </w:t>
      </w:r>
    </w:p>
    <w:p w14:paraId="51B13722" w14:textId="70DAEF1A" w:rsidR="00C13156" w:rsidRPr="00C13156" w:rsidRDefault="00C13156" w:rsidP="00C13156">
      <w:pPr>
        <w:rPr>
          <w:rFonts w:ascii="Times New Roman" w:hAnsi="Times New Roman" w:cs="Times New Roman"/>
          <w:sz w:val="24"/>
          <w:szCs w:val="24"/>
        </w:rPr>
      </w:pPr>
      <w:proofErr w:type="spellStart"/>
      <w:r w:rsidRPr="00C13156">
        <w:rPr>
          <w:rFonts w:ascii="Times New Roman" w:hAnsi="Times New Roman" w:cs="Times New Roman"/>
          <w:sz w:val="24"/>
          <w:szCs w:val="24"/>
        </w:rPr>
        <w:t>Kotkin</w:t>
      </w:r>
      <w:proofErr w:type="spellEnd"/>
      <w:r w:rsidRPr="00C13156">
        <w:rPr>
          <w:rFonts w:ascii="Times New Roman" w:hAnsi="Times New Roman" w:cs="Times New Roman"/>
          <w:sz w:val="24"/>
          <w:szCs w:val="24"/>
        </w:rPr>
        <w:t xml:space="preserve">, Stephen. 2016. “Russia’s Perpetual Geopolitics: Putin Returns to the Historical Pattern.” </w:t>
      </w:r>
      <w:r w:rsidRPr="00C13156">
        <w:rPr>
          <w:rFonts w:ascii="Times New Roman" w:hAnsi="Times New Roman" w:cs="Times New Roman"/>
          <w:i/>
          <w:sz w:val="24"/>
          <w:szCs w:val="24"/>
        </w:rPr>
        <w:t>Foreign Affairs</w:t>
      </w:r>
      <w:r w:rsidRPr="00C13156">
        <w:rPr>
          <w:rFonts w:ascii="Times New Roman" w:hAnsi="Times New Roman" w:cs="Times New Roman"/>
          <w:sz w:val="24"/>
          <w:szCs w:val="24"/>
        </w:rPr>
        <w:t>, May/June: 2-9.</w:t>
      </w:r>
    </w:p>
    <w:p w14:paraId="28F8CCE0" w14:textId="77777777" w:rsidR="0027492B" w:rsidRDefault="0027492B" w:rsidP="00C13156">
      <w:pPr>
        <w:rPr>
          <w:rFonts w:ascii="Times New Roman" w:hAnsi="Times New Roman" w:cs="Times New Roman"/>
          <w:sz w:val="24"/>
          <w:szCs w:val="24"/>
        </w:rPr>
      </w:pPr>
      <w:proofErr w:type="spellStart"/>
      <w:r>
        <w:rPr>
          <w:rFonts w:ascii="Times New Roman" w:hAnsi="Times New Roman" w:cs="Times New Roman"/>
          <w:sz w:val="24"/>
          <w:szCs w:val="24"/>
        </w:rPr>
        <w:t>Krickovic</w:t>
      </w:r>
      <w:proofErr w:type="spellEnd"/>
      <w:r>
        <w:rPr>
          <w:rFonts w:ascii="Times New Roman" w:hAnsi="Times New Roman" w:cs="Times New Roman"/>
          <w:sz w:val="24"/>
          <w:szCs w:val="24"/>
        </w:rPr>
        <w:t>, Andrej, and Yuval Weber. 2018. “What Can Russia Teach Us About Change? Status-Seeking as a Catalyst for Transformation in International Politics.” International Studies Review (forthcoming).</w:t>
      </w:r>
    </w:p>
    <w:p w14:paraId="53C3E36C" w14:textId="50C50F8E" w:rsidR="004820E0" w:rsidRDefault="004820E0" w:rsidP="00C13156">
      <w:pPr>
        <w:rPr>
          <w:rFonts w:ascii="Times New Roman" w:hAnsi="Times New Roman" w:cs="Times New Roman"/>
          <w:sz w:val="24"/>
          <w:szCs w:val="24"/>
        </w:rPr>
      </w:pPr>
      <w:proofErr w:type="spellStart"/>
      <w:r>
        <w:rPr>
          <w:rFonts w:ascii="Times New Roman" w:hAnsi="Times New Roman" w:cs="Times New Roman"/>
          <w:sz w:val="24"/>
          <w:szCs w:val="24"/>
        </w:rPr>
        <w:t>Krickovic</w:t>
      </w:r>
      <w:proofErr w:type="spellEnd"/>
      <w:r>
        <w:rPr>
          <w:rFonts w:ascii="Times New Roman" w:hAnsi="Times New Roman" w:cs="Times New Roman"/>
          <w:sz w:val="24"/>
          <w:szCs w:val="24"/>
        </w:rPr>
        <w:t>, Andrej. 2017. “Concerns about Keeping Pace vs. Anxieties about Decline: Comparing the Role Status Dissatisfaction Plays in China and Russia’s Foreign Policies.” Paper Presented at the International Studies Association Asia Pacific Conference, Hong Kong, June 15-17.</w:t>
      </w:r>
    </w:p>
    <w:p w14:paraId="169CF74F" w14:textId="3F326681" w:rsidR="00C13156" w:rsidRDefault="00C13156" w:rsidP="00C13156">
      <w:pPr>
        <w:rPr>
          <w:rFonts w:ascii="Times New Roman" w:hAnsi="Times New Roman" w:cs="Times New Roman"/>
          <w:sz w:val="24"/>
          <w:szCs w:val="24"/>
        </w:rPr>
      </w:pPr>
      <w:r w:rsidRPr="00C13156">
        <w:rPr>
          <w:rFonts w:ascii="Times New Roman" w:hAnsi="Times New Roman" w:cs="Times New Roman"/>
          <w:sz w:val="24"/>
          <w:szCs w:val="24"/>
        </w:rPr>
        <w:t>Larson, Deborah W. 2017. “Social identity Theory: Status and Identity in International Relations.”  In W.R. Thompson (ed.), Empirical International Relations Theory (online publication,</w:t>
      </w:r>
      <w:r w:rsidRPr="00C13156">
        <w:rPr>
          <w:rFonts w:ascii="Times New Roman" w:eastAsia="Times New Roman" w:hAnsi="Times New Roman" w:cs="Times New Roman"/>
          <w:color w:val="233E7F"/>
          <w:sz w:val="24"/>
          <w:szCs w:val="24"/>
        </w:rPr>
        <w:t xml:space="preserve"> </w:t>
      </w:r>
      <w:r w:rsidRPr="00C13156">
        <w:rPr>
          <w:rFonts w:ascii="Times New Roman" w:hAnsi="Times New Roman" w:cs="Times New Roman"/>
          <w:sz w:val="24"/>
          <w:szCs w:val="24"/>
        </w:rPr>
        <w:t>DOI:10.1093/</w:t>
      </w:r>
      <w:proofErr w:type="spellStart"/>
      <w:r w:rsidRPr="00C13156">
        <w:rPr>
          <w:rFonts w:ascii="Times New Roman" w:hAnsi="Times New Roman" w:cs="Times New Roman"/>
          <w:sz w:val="24"/>
          <w:szCs w:val="24"/>
        </w:rPr>
        <w:t>acrefore</w:t>
      </w:r>
      <w:proofErr w:type="spellEnd"/>
      <w:r w:rsidRPr="00C13156">
        <w:rPr>
          <w:rFonts w:ascii="Times New Roman" w:hAnsi="Times New Roman" w:cs="Times New Roman"/>
          <w:sz w:val="24"/>
          <w:szCs w:val="24"/>
        </w:rPr>
        <w:t>/9780190228637.013.290.</w:t>
      </w:r>
    </w:p>
    <w:p w14:paraId="2A68D17C" w14:textId="59085D4D" w:rsidR="00450CDF" w:rsidRDefault="00450CDF" w:rsidP="00C13156">
      <w:pPr>
        <w:rPr>
          <w:rFonts w:ascii="Times New Roman" w:hAnsi="Times New Roman" w:cs="Times New Roman"/>
          <w:sz w:val="24"/>
          <w:szCs w:val="24"/>
        </w:rPr>
      </w:pPr>
      <w:r>
        <w:rPr>
          <w:rFonts w:ascii="Times New Roman" w:hAnsi="Times New Roman" w:cs="Times New Roman"/>
          <w:sz w:val="24"/>
          <w:szCs w:val="24"/>
        </w:rPr>
        <w:t xml:space="preserve">Larson, Deborah W., and </w:t>
      </w:r>
      <w:r w:rsidR="00AC16D7">
        <w:rPr>
          <w:rFonts w:ascii="Times New Roman" w:hAnsi="Times New Roman" w:cs="Times New Roman"/>
          <w:sz w:val="24"/>
          <w:szCs w:val="24"/>
        </w:rPr>
        <w:t xml:space="preserve">Alexei </w:t>
      </w:r>
      <w:r>
        <w:rPr>
          <w:rFonts w:ascii="Times New Roman" w:hAnsi="Times New Roman" w:cs="Times New Roman"/>
          <w:sz w:val="24"/>
          <w:szCs w:val="24"/>
        </w:rPr>
        <w:t xml:space="preserve">Shevchenko. 2003. “Shortcut to Greatness: The New Thinking and the Revolution in Soviet Foreign Policy.” </w:t>
      </w:r>
      <w:r w:rsidRPr="00F03D12">
        <w:rPr>
          <w:rFonts w:ascii="Times New Roman" w:hAnsi="Times New Roman" w:cs="Times New Roman"/>
          <w:i/>
          <w:sz w:val="24"/>
          <w:szCs w:val="24"/>
        </w:rPr>
        <w:t>International Organization</w:t>
      </w:r>
      <w:r>
        <w:rPr>
          <w:rFonts w:ascii="Times New Roman" w:hAnsi="Times New Roman" w:cs="Times New Roman"/>
          <w:sz w:val="24"/>
          <w:szCs w:val="24"/>
        </w:rPr>
        <w:t xml:space="preserve"> 57</w:t>
      </w:r>
      <w:r w:rsidR="00F03D12">
        <w:rPr>
          <w:rFonts w:ascii="Times New Roman" w:hAnsi="Times New Roman" w:cs="Times New Roman"/>
          <w:sz w:val="24"/>
          <w:szCs w:val="24"/>
        </w:rPr>
        <w:t>,</w:t>
      </w:r>
      <w:r>
        <w:rPr>
          <w:rFonts w:ascii="Times New Roman" w:hAnsi="Times New Roman" w:cs="Times New Roman"/>
          <w:sz w:val="24"/>
          <w:szCs w:val="24"/>
        </w:rPr>
        <w:t>1: 77-109.</w:t>
      </w:r>
    </w:p>
    <w:p w14:paraId="014FE314" w14:textId="4973F8F5" w:rsidR="00450CDF" w:rsidRPr="00C13156" w:rsidRDefault="00450CDF" w:rsidP="00C13156">
      <w:pPr>
        <w:rPr>
          <w:rFonts w:ascii="Times New Roman" w:hAnsi="Times New Roman" w:cs="Times New Roman"/>
          <w:sz w:val="24"/>
          <w:szCs w:val="24"/>
        </w:rPr>
      </w:pPr>
      <w:r>
        <w:rPr>
          <w:rFonts w:ascii="Times New Roman" w:hAnsi="Times New Roman" w:cs="Times New Roman"/>
          <w:sz w:val="24"/>
          <w:szCs w:val="24"/>
        </w:rPr>
        <w:t>Larson, Deborah W., and A</w:t>
      </w:r>
      <w:r w:rsidR="00AC16D7">
        <w:rPr>
          <w:rFonts w:ascii="Times New Roman" w:hAnsi="Times New Roman" w:cs="Times New Roman"/>
          <w:sz w:val="24"/>
          <w:szCs w:val="24"/>
        </w:rPr>
        <w:t>lexei</w:t>
      </w:r>
      <w:r>
        <w:rPr>
          <w:rFonts w:ascii="Times New Roman" w:hAnsi="Times New Roman" w:cs="Times New Roman"/>
          <w:sz w:val="24"/>
          <w:szCs w:val="24"/>
        </w:rPr>
        <w:t xml:space="preserve"> Shevchenko. 2010. “Status Seekers: Chinese and Russian Responses to U.S. Primacy.” </w:t>
      </w:r>
      <w:r w:rsidRPr="00F03D12">
        <w:rPr>
          <w:rFonts w:ascii="Times New Roman" w:hAnsi="Times New Roman" w:cs="Times New Roman"/>
          <w:i/>
          <w:sz w:val="24"/>
          <w:szCs w:val="24"/>
        </w:rPr>
        <w:t>International Security</w:t>
      </w:r>
      <w:r>
        <w:rPr>
          <w:rFonts w:ascii="Times New Roman" w:hAnsi="Times New Roman" w:cs="Times New Roman"/>
          <w:sz w:val="24"/>
          <w:szCs w:val="24"/>
        </w:rPr>
        <w:t xml:space="preserve">, 34,4: 63-95. </w:t>
      </w:r>
    </w:p>
    <w:p w14:paraId="1F463DC4" w14:textId="0959918A" w:rsidR="005861CD" w:rsidRDefault="00186A23" w:rsidP="005861CD">
      <w:pPr>
        <w:rPr>
          <w:rFonts w:ascii="Times New Roman" w:hAnsi="Times New Roman" w:cs="Times New Roman"/>
          <w:sz w:val="24"/>
          <w:szCs w:val="24"/>
        </w:rPr>
      </w:pPr>
      <w:r>
        <w:rPr>
          <w:rFonts w:ascii="Times New Roman" w:hAnsi="Times New Roman" w:cs="Times New Roman"/>
          <w:sz w:val="24"/>
          <w:szCs w:val="24"/>
        </w:rPr>
        <w:t xml:space="preserve">Levy, Jack S. 1983. </w:t>
      </w:r>
      <w:r w:rsidR="005861CD">
        <w:rPr>
          <w:rFonts w:ascii="Times New Roman" w:hAnsi="Times New Roman" w:cs="Times New Roman"/>
          <w:i/>
          <w:sz w:val="24"/>
          <w:szCs w:val="24"/>
        </w:rPr>
        <w:t xml:space="preserve">War in the Modern Great Power System. </w:t>
      </w:r>
      <w:r w:rsidR="005861CD">
        <w:rPr>
          <w:rFonts w:ascii="Times New Roman" w:hAnsi="Times New Roman" w:cs="Times New Roman"/>
          <w:sz w:val="24"/>
          <w:szCs w:val="24"/>
        </w:rPr>
        <w:t>Lexington, KY: University Press of Kentucky.</w:t>
      </w:r>
    </w:p>
    <w:p w14:paraId="6DDCA206" w14:textId="5036169F" w:rsidR="00AB2128" w:rsidRDefault="00AB2128" w:rsidP="00AB2128">
      <w:pPr>
        <w:rPr>
          <w:rFonts w:ascii="Times New Roman" w:hAnsi="Times New Roman" w:cs="Times New Roman"/>
          <w:sz w:val="24"/>
          <w:szCs w:val="24"/>
        </w:rPr>
      </w:pPr>
      <w:r>
        <w:rPr>
          <w:rFonts w:ascii="Times New Roman" w:hAnsi="Times New Roman" w:cs="Times New Roman"/>
          <w:sz w:val="24"/>
          <w:szCs w:val="24"/>
        </w:rPr>
        <w:t>Lewis, David G. 2018. “Eurasian</w:t>
      </w:r>
      <w:r w:rsidR="0090463A">
        <w:rPr>
          <w:rFonts w:ascii="Times New Roman" w:hAnsi="Times New Roman" w:cs="Times New Roman"/>
          <w:sz w:val="24"/>
          <w:szCs w:val="24"/>
        </w:rPr>
        <w:t xml:space="preserve"> Spaces in a New World Order:</w:t>
      </w:r>
      <w:r w:rsidRPr="00AB2128">
        <w:rPr>
          <w:rFonts w:ascii="Times New Roman" w:hAnsi="Times New Roman" w:cs="Times New Roman"/>
          <w:sz w:val="24"/>
          <w:szCs w:val="24"/>
        </w:rPr>
        <w:t xml:space="preserve"> </w:t>
      </w:r>
      <w:proofErr w:type="spellStart"/>
      <w:r w:rsidRPr="00AB2128">
        <w:rPr>
          <w:rFonts w:ascii="Times New Roman" w:hAnsi="Times New Roman" w:cs="Times New Roman"/>
          <w:sz w:val="24"/>
          <w:szCs w:val="24"/>
        </w:rPr>
        <w:t>Großraum</w:t>
      </w:r>
      <w:proofErr w:type="spellEnd"/>
      <w:r w:rsidRPr="00AB2128">
        <w:rPr>
          <w:rFonts w:ascii="Times New Roman" w:hAnsi="Times New Roman" w:cs="Times New Roman"/>
          <w:sz w:val="24"/>
          <w:szCs w:val="24"/>
        </w:rPr>
        <w:t xml:space="preserve"> Thinking in Russian Foreign Policy</w:t>
      </w:r>
      <w:r>
        <w:rPr>
          <w:rFonts w:ascii="Times New Roman" w:hAnsi="Times New Roman" w:cs="Times New Roman"/>
          <w:sz w:val="24"/>
          <w:szCs w:val="24"/>
        </w:rPr>
        <w:t>.” Presented at the annual meeting of the International Studies Association, San Francisco, April</w:t>
      </w:r>
      <w:r w:rsidR="0090463A">
        <w:rPr>
          <w:rFonts w:ascii="Times New Roman" w:hAnsi="Times New Roman" w:cs="Times New Roman"/>
          <w:sz w:val="24"/>
          <w:szCs w:val="24"/>
        </w:rPr>
        <w:t xml:space="preserve"> 4-7</w:t>
      </w:r>
      <w:r>
        <w:rPr>
          <w:rFonts w:ascii="Times New Roman" w:hAnsi="Times New Roman" w:cs="Times New Roman"/>
          <w:sz w:val="24"/>
          <w:szCs w:val="24"/>
        </w:rPr>
        <w:t>.</w:t>
      </w:r>
    </w:p>
    <w:p w14:paraId="460EA36F" w14:textId="711DD5C4" w:rsidR="00FE5F50" w:rsidRPr="00FE5F50" w:rsidRDefault="00FE5F50" w:rsidP="00AB2128">
      <w:pPr>
        <w:rPr>
          <w:rFonts w:ascii="Times New Roman" w:hAnsi="Times New Roman" w:cs="Times New Roman"/>
          <w:sz w:val="24"/>
          <w:szCs w:val="24"/>
        </w:rPr>
      </w:pPr>
      <w:r>
        <w:rPr>
          <w:rFonts w:ascii="Times New Roman" w:hAnsi="Times New Roman" w:cs="Times New Roman"/>
          <w:sz w:val="24"/>
          <w:szCs w:val="24"/>
        </w:rPr>
        <w:t xml:space="preserve">Miller, Jennifer L., Jacob Cramer, Thomas J. Volgy, Paul Bezerra, Megan Hauser, and Christina Sciabarra. 2015. “Norms, Behavioral Compliance, and Status Attribution in International Politics.” </w:t>
      </w:r>
      <w:r>
        <w:rPr>
          <w:rFonts w:ascii="Times New Roman" w:hAnsi="Times New Roman" w:cs="Times New Roman"/>
          <w:i/>
          <w:sz w:val="24"/>
          <w:szCs w:val="24"/>
        </w:rPr>
        <w:t xml:space="preserve">International Interactions </w:t>
      </w:r>
      <w:r>
        <w:rPr>
          <w:rFonts w:ascii="Times New Roman" w:hAnsi="Times New Roman" w:cs="Times New Roman"/>
          <w:sz w:val="24"/>
          <w:szCs w:val="24"/>
        </w:rPr>
        <w:t xml:space="preserve">41.5: 779-804. </w:t>
      </w:r>
    </w:p>
    <w:p w14:paraId="5FF6D339" w14:textId="089E0077" w:rsidR="00461E93" w:rsidRDefault="00C13156" w:rsidP="00C13156">
      <w:pPr>
        <w:rPr>
          <w:rFonts w:ascii="Times New Roman" w:hAnsi="Times New Roman" w:cs="Times New Roman"/>
          <w:sz w:val="24"/>
          <w:szCs w:val="24"/>
        </w:rPr>
      </w:pPr>
      <w:r w:rsidRPr="00C13156">
        <w:rPr>
          <w:rFonts w:ascii="Times New Roman" w:hAnsi="Times New Roman" w:cs="Times New Roman"/>
          <w:sz w:val="24"/>
          <w:szCs w:val="24"/>
        </w:rPr>
        <w:t xml:space="preserve">Neumann, Iver B. 2016. “Russia’s Europe: 1991-2016: Inferiority to Superiority.” </w:t>
      </w:r>
      <w:r w:rsidRPr="00C13156">
        <w:rPr>
          <w:rFonts w:ascii="Times New Roman" w:hAnsi="Times New Roman" w:cs="Times New Roman"/>
          <w:i/>
          <w:sz w:val="24"/>
          <w:szCs w:val="24"/>
        </w:rPr>
        <w:t>International Affairs</w:t>
      </w:r>
      <w:r w:rsidRPr="00C13156">
        <w:rPr>
          <w:rFonts w:ascii="Times New Roman" w:hAnsi="Times New Roman" w:cs="Times New Roman"/>
          <w:sz w:val="24"/>
          <w:szCs w:val="24"/>
        </w:rPr>
        <w:t>, 92, 6: 1381-1399.</w:t>
      </w:r>
    </w:p>
    <w:p w14:paraId="3084845D" w14:textId="3E185273" w:rsidR="0027492B" w:rsidRPr="00C13156" w:rsidRDefault="0027492B" w:rsidP="00C13156">
      <w:pPr>
        <w:rPr>
          <w:rFonts w:ascii="Times New Roman" w:hAnsi="Times New Roman" w:cs="Times New Roman"/>
          <w:sz w:val="24"/>
          <w:szCs w:val="24"/>
        </w:rPr>
      </w:pPr>
      <w:proofErr w:type="spellStart"/>
      <w:r>
        <w:rPr>
          <w:rFonts w:ascii="Times New Roman" w:hAnsi="Times New Roman" w:cs="Times New Roman"/>
          <w:sz w:val="24"/>
          <w:szCs w:val="24"/>
        </w:rPr>
        <w:t>Onea</w:t>
      </w:r>
      <w:proofErr w:type="spellEnd"/>
      <w:r>
        <w:rPr>
          <w:rFonts w:ascii="Times New Roman" w:hAnsi="Times New Roman" w:cs="Times New Roman"/>
          <w:sz w:val="24"/>
          <w:szCs w:val="24"/>
        </w:rPr>
        <w:t xml:space="preserve">, Tudor. 2014. “Between Dominance and Decline. Status Anxiety and Great Power Rivalry.” </w:t>
      </w:r>
      <w:proofErr w:type="spellStart"/>
      <w:r>
        <w:rPr>
          <w:rFonts w:ascii="Times New Roman" w:hAnsi="Times New Roman" w:cs="Times New Roman"/>
          <w:sz w:val="24"/>
          <w:szCs w:val="24"/>
        </w:rPr>
        <w:t>Rivew</w:t>
      </w:r>
      <w:proofErr w:type="spellEnd"/>
      <w:r>
        <w:rPr>
          <w:rFonts w:ascii="Times New Roman" w:hAnsi="Times New Roman" w:cs="Times New Roman"/>
          <w:sz w:val="24"/>
          <w:szCs w:val="24"/>
        </w:rPr>
        <w:t xml:space="preserve"> of International Studies 40, 1: 125-152.</w:t>
      </w:r>
    </w:p>
    <w:p w14:paraId="6A142367" w14:textId="0F059EA2" w:rsidR="00504BB5" w:rsidRDefault="00504BB5" w:rsidP="00C13156">
      <w:pPr>
        <w:rPr>
          <w:rFonts w:ascii="Times New Roman" w:hAnsi="Times New Roman" w:cs="Times New Roman"/>
          <w:sz w:val="24"/>
          <w:szCs w:val="24"/>
        </w:rPr>
      </w:pPr>
      <w:r>
        <w:rPr>
          <w:rFonts w:ascii="Times New Roman" w:hAnsi="Times New Roman" w:cs="Times New Roman"/>
          <w:sz w:val="24"/>
          <w:szCs w:val="24"/>
        </w:rPr>
        <w:t xml:space="preserve">Paul, T.V., Deborah W. Larson, and William C. Wohlforth (eds.). </w:t>
      </w:r>
      <w:r w:rsidR="003F016C">
        <w:rPr>
          <w:rFonts w:ascii="Times New Roman" w:hAnsi="Times New Roman" w:cs="Times New Roman"/>
          <w:sz w:val="24"/>
          <w:szCs w:val="24"/>
        </w:rPr>
        <w:t xml:space="preserve">2014. </w:t>
      </w:r>
      <w:r w:rsidRPr="00504BB5">
        <w:rPr>
          <w:rFonts w:ascii="Times New Roman" w:hAnsi="Times New Roman" w:cs="Times New Roman"/>
          <w:i/>
          <w:sz w:val="24"/>
          <w:szCs w:val="24"/>
        </w:rPr>
        <w:t xml:space="preserve">Status </w:t>
      </w:r>
      <w:proofErr w:type="gramStart"/>
      <w:r w:rsidRPr="00504BB5">
        <w:rPr>
          <w:rFonts w:ascii="Times New Roman" w:hAnsi="Times New Roman" w:cs="Times New Roman"/>
          <w:i/>
          <w:sz w:val="24"/>
          <w:szCs w:val="24"/>
        </w:rPr>
        <w:t>In</w:t>
      </w:r>
      <w:proofErr w:type="gramEnd"/>
      <w:r w:rsidRPr="00504BB5">
        <w:rPr>
          <w:rFonts w:ascii="Times New Roman" w:hAnsi="Times New Roman" w:cs="Times New Roman"/>
          <w:i/>
          <w:sz w:val="24"/>
          <w:szCs w:val="24"/>
        </w:rPr>
        <w:t xml:space="preserve"> World Politics</w:t>
      </w:r>
      <w:r>
        <w:rPr>
          <w:rFonts w:ascii="Times New Roman" w:hAnsi="Times New Roman" w:cs="Times New Roman"/>
          <w:sz w:val="24"/>
          <w:szCs w:val="24"/>
        </w:rPr>
        <w:t>. New York: Cambridge University Press.</w:t>
      </w:r>
    </w:p>
    <w:p w14:paraId="767FF0F6" w14:textId="5CCDD361" w:rsidR="00186A23" w:rsidRDefault="00186A23" w:rsidP="00C13156">
      <w:pPr>
        <w:rPr>
          <w:rFonts w:ascii="Times New Roman" w:hAnsi="Times New Roman" w:cs="Times New Roman"/>
          <w:sz w:val="24"/>
          <w:szCs w:val="24"/>
        </w:rPr>
      </w:pPr>
      <w:r>
        <w:rPr>
          <w:rFonts w:ascii="Times New Roman" w:hAnsi="Times New Roman" w:cs="Times New Roman"/>
          <w:sz w:val="24"/>
          <w:szCs w:val="24"/>
        </w:rPr>
        <w:t>Ray, James L. 1974. “Status Inconsi</w:t>
      </w:r>
      <w:r w:rsidR="00132DBC">
        <w:rPr>
          <w:rFonts w:ascii="Times New Roman" w:hAnsi="Times New Roman" w:cs="Times New Roman"/>
          <w:sz w:val="24"/>
          <w:szCs w:val="24"/>
        </w:rPr>
        <w:t>s</w:t>
      </w:r>
      <w:r>
        <w:rPr>
          <w:rFonts w:ascii="Times New Roman" w:hAnsi="Times New Roman" w:cs="Times New Roman"/>
          <w:sz w:val="24"/>
          <w:szCs w:val="24"/>
        </w:rPr>
        <w:t xml:space="preserve">tency and War-involvement in Europe, 1816-1970.” </w:t>
      </w:r>
      <w:r w:rsidRPr="00186A23">
        <w:rPr>
          <w:rFonts w:ascii="Times New Roman" w:hAnsi="Times New Roman" w:cs="Times New Roman"/>
          <w:i/>
          <w:sz w:val="24"/>
          <w:szCs w:val="24"/>
        </w:rPr>
        <w:t>Peace Science Society Papers</w:t>
      </w:r>
      <w:r>
        <w:rPr>
          <w:rFonts w:ascii="Times New Roman" w:hAnsi="Times New Roman" w:cs="Times New Roman"/>
          <w:sz w:val="24"/>
          <w:szCs w:val="24"/>
        </w:rPr>
        <w:t xml:space="preserve"> 23: 69-80.</w:t>
      </w:r>
    </w:p>
    <w:p w14:paraId="05D8CC97" w14:textId="6352B1E8" w:rsidR="00C13156" w:rsidRPr="00EE4C15" w:rsidRDefault="00C13156" w:rsidP="00EE4C15">
      <w:pPr>
        <w:rPr>
          <w:rFonts w:ascii="Times New Roman" w:hAnsi="Times New Roman" w:cs="Times New Roman"/>
          <w:sz w:val="24"/>
          <w:szCs w:val="24"/>
        </w:rPr>
      </w:pPr>
      <w:proofErr w:type="spellStart"/>
      <w:r w:rsidRPr="00EE4C15">
        <w:rPr>
          <w:rFonts w:ascii="Times New Roman" w:hAnsi="Times New Roman" w:cs="Times New Roman"/>
          <w:sz w:val="24"/>
          <w:szCs w:val="24"/>
        </w:rPr>
        <w:lastRenderedPageBreak/>
        <w:t>Renshon</w:t>
      </w:r>
      <w:proofErr w:type="spellEnd"/>
      <w:r w:rsidRPr="00EE4C15">
        <w:rPr>
          <w:rFonts w:ascii="Times New Roman" w:hAnsi="Times New Roman" w:cs="Times New Roman"/>
          <w:sz w:val="24"/>
          <w:szCs w:val="24"/>
        </w:rPr>
        <w:t xml:space="preserve">, Jonathan. 2016. “Status Deficits and War.” </w:t>
      </w:r>
      <w:r w:rsidRPr="00EE4C15">
        <w:rPr>
          <w:rFonts w:ascii="Times New Roman" w:hAnsi="Times New Roman" w:cs="Times New Roman"/>
          <w:i/>
          <w:sz w:val="24"/>
          <w:szCs w:val="24"/>
        </w:rPr>
        <w:t>International Organization</w:t>
      </w:r>
      <w:r w:rsidRPr="00EE4C15">
        <w:rPr>
          <w:rFonts w:ascii="Times New Roman" w:hAnsi="Times New Roman" w:cs="Times New Roman"/>
          <w:sz w:val="24"/>
          <w:szCs w:val="24"/>
        </w:rPr>
        <w:t>, 70: 513-550.</w:t>
      </w:r>
    </w:p>
    <w:p w14:paraId="2486E78B" w14:textId="54E77CDD" w:rsidR="00EE4C15" w:rsidRDefault="00AC16D7" w:rsidP="00EE4C15">
      <w:pPr>
        <w:rPr>
          <w:rFonts w:ascii="Times New Roman" w:hAnsi="Times New Roman" w:cs="Times New Roman"/>
          <w:sz w:val="24"/>
          <w:szCs w:val="24"/>
        </w:rPr>
      </w:pPr>
      <w:proofErr w:type="spellStart"/>
      <w:r w:rsidRPr="00EE4C15">
        <w:rPr>
          <w:rFonts w:ascii="Times New Roman" w:hAnsi="Times New Roman" w:cs="Times New Roman"/>
          <w:sz w:val="24"/>
          <w:szCs w:val="24"/>
        </w:rPr>
        <w:t>Renshon</w:t>
      </w:r>
      <w:proofErr w:type="spellEnd"/>
      <w:r w:rsidRPr="00EE4C15">
        <w:rPr>
          <w:rFonts w:ascii="Times New Roman" w:hAnsi="Times New Roman" w:cs="Times New Roman"/>
          <w:sz w:val="24"/>
          <w:szCs w:val="24"/>
        </w:rPr>
        <w:t xml:space="preserve">, Jonathan. 2017. </w:t>
      </w:r>
      <w:r w:rsidRPr="00EE4C15">
        <w:rPr>
          <w:rFonts w:ascii="Times New Roman" w:hAnsi="Times New Roman" w:cs="Times New Roman"/>
          <w:i/>
          <w:sz w:val="24"/>
          <w:szCs w:val="24"/>
        </w:rPr>
        <w:t>Fighting for Status: Hierarchy and Conflict in World Politics</w:t>
      </w:r>
      <w:r w:rsidRPr="00EE4C15">
        <w:rPr>
          <w:rFonts w:ascii="Times New Roman" w:hAnsi="Times New Roman" w:cs="Times New Roman"/>
          <w:sz w:val="24"/>
          <w:szCs w:val="24"/>
        </w:rPr>
        <w:t>. Princeton: Princeton University Press.</w:t>
      </w:r>
      <w:r w:rsidR="004E50F4" w:rsidRPr="00EE4C15">
        <w:rPr>
          <w:rFonts w:ascii="Times New Roman" w:hAnsi="Times New Roman" w:cs="Times New Roman"/>
          <w:sz w:val="24"/>
          <w:szCs w:val="24"/>
        </w:rPr>
        <w:t xml:space="preserve"> </w:t>
      </w:r>
    </w:p>
    <w:p w14:paraId="4FAE09F8" w14:textId="2B1C8868" w:rsidR="00951E93" w:rsidRPr="00951E93" w:rsidRDefault="00951E93" w:rsidP="00EE4C15">
      <w:pPr>
        <w:rPr>
          <w:rFonts w:ascii="Times New Roman" w:hAnsi="Times New Roman" w:cs="Times New Roman"/>
          <w:sz w:val="24"/>
          <w:szCs w:val="24"/>
        </w:rPr>
      </w:pPr>
      <w:r w:rsidRPr="000F70CE">
        <w:rPr>
          <w:rFonts w:ascii="Times New Roman" w:hAnsi="Times New Roman" w:cs="Times New Roman"/>
          <w:sz w:val="24"/>
          <w:szCs w:val="24"/>
        </w:rPr>
        <w:t xml:space="preserve">Rhamey, J. Patrick, Jr., Jacob Cramer, </w:t>
      </w:r>
      <w:proofErr w:type="spellStart"/>
      <w:r w:rsidRPr="000F70CE">
        <w:rPr>
          <w:rFonts w:ascii="Times New Roman" w:hAnsi="Times New Roman" w:cs="Times New Roman"/>
          <w:sz w:val="24"/>
          <w:szCs w:val="24"/>
        </w:rPr>
        <w:t>Kirssa</w:t>
      </w:r>
      <w:proofErr w:type="spellEnd"/>
      <w:r w:rsidRPr="000F70CE">
        <w:rPr>
          <w:rFonts w:ascii="Times New Roman" w:hAnsi="Times New Roman" w:cs="Times New Roman"/>
          <w:sz w:val="24"/>
          <w:szCs w:val="24"/>
        </w:rPr>
        <w:t xml:space="preserve"> Cline and Thomas J. Volgy. 2013. “Diplomatic Contacts Database (DIPCON). Tucson, AZ: School of Government and Public Policy, University of Arizona (Version 1.1). http://www.u.arizona.edu/~volgy/data.html.</w:t>
      </w:r>
    </w:p>
    <w:p w14:paraId="3513A78F" w14:textId="7FA52793" w:rsidR="00EE4C15" w:rsidRPr="00EE4C15" w:rsidRDefault="004E50F4" w:rsidP="00EE4C15">
      <w:pPr>
        <w:rPr>
          <w:rFonts w:ascii="Times New Roman" w:eastAsia="Times New Roman" w:hAnsi="Times New Roman" w:cs="Times New Roman"/>
          <w:color w:val="0000FF"/>
          <w:sz w:val="24"/>
          <w:szCs w:val="24"/>
          <w:u w:val="single"/>
        </w:rPr>
      </w:pPr>
      <w:r w:rsidRPr="00EE4C15">
        <w:rPr>
          <w:rFonts w:ascii="Times New Roman" w:eastAsia="Times New Roman" w:hAnsi="Times New Roman" w:cs="Times New Roman"/>
          <w:sz w:val="24"/>
          <w:szCs w:val="24"/>
        </w:rPr>
        <w:t>SIPRI Military Expenditure Database. 2017</w:t>
      </w:r>
      <w:r w:rsidR="00C07011">
        <w:rPr>
          <w:rFonts w:ascii="Times New Roman" w:eastAsia="Times New Roman" w:hAnsi="Times New Roman" w:cs="Times New Roman"/>
          <w:sz w:val="24"/>
          <w:szCs w:val="24"/>
        </w:rPr>
        <w:t>.</w:t>
      </w:r>
      <w:r w:rsidRPr="00C07011">
        <w:rPr>
          <w:rFonts w:ascii="Times New Roman" w:eastAsia="Times New Roman" w:hAnsi="Times New Roman" w:cs="Times New Roman"/>
          <w:sz w:val="24"/>
          <w:szCs w:val="24"/>
        </w:rPr>
        <w:t xml:space="preserve"> </w:t>
      </w:r>
      <w:hyperlink r:id="rId20" w:history="1">
        <w:r w:rsidR="00C07011" w:rsidRPr="00D346A7">
          <w:rPr>
            <w:rStyle w:val="Hyperlink"/>
            <w:rFonts w:ascii="Times New Roman" w:hAnsi="Times New Roman" w:cs="Times New Roman"/>
            <w:sz w:val="24"/>
            <w:szCs w:val="24"/>
          </w:rPr>
          <w:t>https://www.sipri.org/databases/milex</w:t>
        </w:r>
      </w:hyperlink>
      <w:r w:rsidR="00C07011">
        <w:t xml:space="preserve"> </w:t>
      </w:r>
      <w:r w:rsidR="00EE4C15" w:rsidRPr="00EE4C15">
        <w:rPr>
          <w:rFonts w:ascii="Times New Roman" w:eastAsia="Times New Roman" w:hAnsi="Times New Roman" w:cs="Times New Roman"/>
          <w:color w:val="0000FF"/>
          <w:sz w:val="24"/>
          <w:szCs w:val="24"/>
          <w:u w:val="single"/>
        </w:rPr>
        <w:t xml:space="preserve">     </w:t>
      </w:r>
    </w:p>
    <w:p w14:paraId="7B75F87A" w14:textId="0B8159C7" w:rsidR="00EE4C15" w:rsidRPr="00EE4C15" w:rsidRDefault="00EE4C15" w:rsidP="00EE4C15">
      <w:pPr>
        <w:rPr>
          <w:rFonts w:ascii="Times New Roman" w:hAnsi="Times New Roman" w:cs="Times New Roman"/>
          <w:sz w:val="24"/>
          <w:szCs w:val="24"/>
        </w:rPr>
      </w:pPr>
      <w:r w:rsidRPr="00EE4C15">
        <w:rPr>
          <w:rFonts w:ascii="Times New Roman" w:hAnsi="Times New Roman" w:cs="Times New Roman"/>
          <w:sz w:val="24"/>
          <w:szCs w:val="24"/>
        </w:rPr>
        <w:t xml:space="preserve">Summers, Tim. </w:t>
      </w:r>
      <w:r w:rsidR="001C272E">
        <w:rPr>
          <w:rFonts w:ascii="Times New Roman" w:hAnsi="Times New Roman" w:cs="Times New Roman"/>
          <w:sz w:val="24"/>
          <w:szCs w:val="24"/>
        </w:rPr>
        <w:t xml:space="preserve">2016. </w:t>
      </w:r>
      <w:r w:rsidRPr="00EE4C15">
        <w:rPr>
          <w:rFonts w:ascii="Times New Roman" w:hAnsi="Times New Roman" w:cs="Times New Roman"/>
          <w:sz w:val="24"/>
          <w:szCs w:val="24"/>
        </w:rPr>
        <w:t xml:space="preserve">“Thinking Inside the Box: China and Global/Regional Governance.” </w:t>
      </w:r>
      <w:r w:rsidRPr="00EE4C15">
        <w:rPr>
          <w:rFonts w:ascii="Times New Roman" w:hAnsi="Times New Roman" w:cs="Times New Roman"/>
          <w:i/>
          <w:sz w:val="24"/>
          <w:szCs w:val="24"/>
        </w:rPr>
        <w:t>Rising Powers Quarterly</w:t>
      </w:r>
      <w:r w:rsidRPr="00EE4C15">
        <w:rPr>
          <w:rFonts w:ascii="Times New Roman" w:hAnsi="Times New Roman" w:cs="Times New Roman"/>
          <w:sz w:val="24"/>
          <w:szCs w:val="24"/>
        </w:rPr>
        <w:t xml:space="preserve"> 1, 1: 23-31.</w:t>
      </w:r>
    </w:p>
    <w:p w14:paraId="586EF222" w14:textId="2F473E2B" w:rsidR="00AB1A45" w:rsidRDefault="00AB1A45" w:rsidP="005861CD">
      <w:pPr>
        <w:rPr>
          <w:rFonts w:ascii="Times New Roman" w:hAnsi="Times New Roman" w:cs="Times New Roman"/>
          <w:sz w:val="24"/>
          <w:szCs w:val="24"/>
        </w:rPr>
      </w:pPr>
      <w:r>
        <w:rPr>
          <w:rFonts w:ascii="Times New Roman" w:hAnsi="Times New Roman" w:cs="Times New Roman"/>
          <w:sz w:val="24"/>
          <w:szCs w:val="24"/>
        </w:rPr>
        <w:t>Volgy, Thomas J., Zlatko Sabic, Petra Roter and Andrea Gerlak (eds.). 2009. Mapping the New World Order. Cambridge: Wiley-Blackwell.</w:t>
      </w:r>
    </w:p>
    <w:p w14:paraId="45D76335" w14:textId="392F05E5" w:rsidR="005861CD" w:rsidRPr="00CF5E87" w:rsidRDefault="005861CD" w:rsidP="005861CD">
      <w:pPr>
        <w:rPr>
          <w:rFonts w:ascii="Times New Roman" w:hAnsi="Times New Roman" w:cs="Times New Roman"/>
          <w:sz w:val="24"/>
          <w:szCs w:val="24"/>
        </w:rPr>
      </w:pPr>
      <w:r w:rsidRPr="00CF5E87">
        <w:rPr>
          <w:rFonts w:ascii="Times New Roman" w:hAnsi="Times New Roman" w:cs="Times New Roman"/>
          <w:sz w:val="24"/>
          <w:szCs w:val="24"/>
        </w:rPr>
        <w:t>Volgy, Thomas J., Renato Corbetta, Keith A. Grant, and Ryan G. Baird. 2011. “Major Power Status in International Politics.” In Volgy, Corbetta, Grant, and Baird (eds.), </w:t>
      </w:r>
      <w:r w:rsidRPr="00CF5E87">
        <w:rPr>
          <w:rFonts w:ascii="Times New Roman" w:hAnsi="Times New Roman" w:cs="Times New Roman"/>
          <w:i/>
          <w:iCs/>
          <w:sz w:val="24"/>
          <w:szCs w:val="24"/>
          <w:bdr w:val="none" w:sz="0" w:space="0" w:color="auto" w:frame="1"/>
        </w:rPr>
        <w:t>Major Powers and the Quest for Status in International Politics</w:t>
      </w:r>
      <w:r w:rsidRPr="00CF5E87">
        <w:rPr>
          <w:rFonts w:ascii="Times New Roman" w:hAnsi="Times New Roman" w:cs="Times New Roman"/>
          <w:sz w:val="24"/>
          <w:szCs w:val="24"/>
        </w:rPr>
        <w:t>. New York: Palgrave MacMillan.</w:t>
      </w:r>
    </w:p>
    <w:p w14:paraId="7305D1FA" w14:textId="757629F6" w:rsidR="005861CD" w:rsidRDefault="005861CD" w:rsidP="005861CD">
      <w:pPr>
        <w:rPr>
          <w:rFonts w:ascii="Times New Roman" w:hAnsi="Times New Roman" w:cs="Times New Roman"/>
          <w:sz w:val="24"/>
          <w:szCs w:val="24"/>
        </w:rPr>
      </w:pPr>
      <w:r w:rsidRPr="00CF5E87">
        <w:rPr>
          <w:rFonts w:ascii="Times New Roman" w:hAnsi="Times New Roman" w:cs="Times New Roman"/>
          <w:sz w:val="24"/>
          <w:szCs w:val="24"/>
        </w:rPr>
        <w:t> Volgy, Thomas J., Renato Corbetta, J. Patrick Rhamey, Ryan G. Baird, and Keith Grant. 2014. “Status Considerations in International Politics and the Rise of Regional Powers.” In T.V. Paul, Deborah W. Larson, and William C. Wohlforth (eds.), </w:t>
      </w:r>
      <w:r w:rsidRPr="00CF5E87">
        <w:rPr>
          <w:rFonts w:ascii="Times New Roman" w:hAnsi="Times New Roman" w:cs="Times New Roman"/>
          <w:i/>
          <w:iCs/>
          <w:sz w:val="24"/>
          <w:szCs w:val="24"/>
          <w:bdr w:val="none" w:sz="0" w:space="0" w:color="auto" w:frame="1"/>
        </w:rPr>
        <w:t>Status in World Politics</w:t>
      </w:r>
      <w:r w:rsidRPr="00CF5E87">
        <w:rPr>
          <w:rFonts w:ascii="Times New Roman" w:hAnsi="Times New Roman" w:cs="Times New Roman"/>
          <w:sz w:val="24"/>
          <w:szCs w:val="24"/>
        </w:rPr>
        <w:t>. New York: Cambridge University Press.</w:t>
      </w:r>
    </w:p>
    <w:p w14:paraId="5134C7AA" w14:textId="35753790" w:rsidR="00A94F25" w:rsidRPr="00A94F25" w:rsidRDefault="00A94F25" w:rsidP="005861CD">
      <w:pPr>
        <w:rPr>
          <w:rFonts w:ascii="Times New Roman" w:hAnsi="Times New Roman" w:cs="Times New Roman"/>
          <w:sz w:val="24"/>
          <w:szCs w:val="24"/>
        </w:rPr>
      </w:pPr>
      <w:r>
        <w:rPr>
          <w:rFonts w:ascii="Times New Roman" w:hAnsi="Times New Roman" w:cs="Times New Roman"/>
          <w:sz w:val="24"/>
          <w:szCs w:val="24"/>
        </w:rPr>
        <w:t xml:space="preserve">Volgy, Thomas J., Paul Bezerra, Jacob Cramer, and J. Patrick Rhamey Jr. 2017. “The Case for Comparative Regional Analysis in International Politics.” </w:t>
      </w:r>
      <w:r>
        <w:rPr>
          <w:rFonts w:ascii="Times New Roman" w:hAnsi="Times New Roman" w:cs="Times New Roman"/>
          <w:i/>
          <w:sz w:val="24"/>
          <w:szCs w:val="24"/>
        </w:rPr>
        <w:t xml:space="preserve">International Studies Review </w:t>
      </w:r>
      <w:r>
        <w:rPr>
          <w:rFonts w:ascii="Times New Roman" w:hAnsi="Times New Roman" w:cs="Times New Roman"/>
          <w:sz w:val="24"/>
          <w:szCs w:val="24"/>
        </w:rPr>
        <w:t xml:space="preserve">19.3: 452-480. </w:t>
      </w:r>
    </w:p>
    <w:p w14:paraId="493553FF" w14:textId="79B8E1F2" w:rsidR="00DC60F5" w:rsidRPr="00DC60F5" w:rsidRDefault="00DC60F5" w:rsidP="005861CD">
      <w:pPr>
        <w:rPr>
          <w:rFonts w:ascii="Times New Roman" w:hAnsi="Times New Roman" w:cs="Times New Roman"/>
          <w:sz w:val="24"/>
          <w:szCs w:val="24"/>
        </w:rPr>
      </w:pPr>
      <w:r w:rsidRPr="00C07011">
        <w:rPr>
          <w:rFonts w:ascii="Times New Roman" w:hAnsi="Times New Roman" w:cs="Times New Roman"/>
          <w:sz w:val="24"/>
          <w:szCs w:val="24"/>
        </w:rPr>
        <w:t xml:space="preserve">Wallace, Michael D. 1973. </w:t>
      </w:r>
      <w:r w:rsidRPr="00C07011">
        <w:rPr>
          <w:rFonts w:ascii="Times New Roman" w:hAnsi="Times New Roman" w:cs="Times New Roman"/>
          <w:i/>
          <w:sz w:val="24"/>
          <w:szCs w:val="24"/>
        </w:rPr>
        <w:t>War and Rank Among Nations.</w:t>
      </w:r>
      <w:r w:rsidRPr="00C07011">
        <w:rPr>
          <w:rFonts w:ascii="Times New Roman" w:hAnsi="Times New Roman" w:cs="Times New Roman"/>
          <w:sz w:val="24"/>
          <w:szCs w:val="24"/>
        </w:rPr>
        <w:t xml:space="preserve"> Boston: Lexington Books</w:t>
      </w:r>
      <w:r>
        <w:rPr>
          <w:rFonts w:ascii="Times New Roman" w:hAnsi="Times New Roman" w:cs="Times New Roman"/>
          <w:sz w:val="24"/>
          <w:szCs w:val="24"/>
        </w:rPr>
        <w:t>.</w:t>
      </w:r>
    </w:p>
    <w:p w14:paraId="692D70EE" w14:textId="77777777" w:rsidR="00C13156" w:rsidRPr="00C13156" w:rsidRDefault="00C13156" w:rsidP="00C13156">
      <w:pPr>
        <w:ind w:right="-270"/>
        <w:rPr>
          <w:rFonts w:ascii="Times New Roman" w:hAnsi="Times New Roman" w:cs="Times New Roman"/>
          <w:sz w:val="24"/>
          <w:szCs w:val="24"/>
        </w:rPr>
      </w:pPr>
      <w:r w:rsidRPr="00C13156">
        <w:rPr>
          <w:rFonts w:ascii="Times New Roman" w:hAnsi="Times New Roman" w:cs="Times New Roman"/>
          <w:sz w:val="24"/>
          <w:szCs w:val="24"/>
        </w:rPr>
        <w:t xml:space="preserve">Ward, Steven. 2018. “Lost in Translation: Social Identity Theory and the Study of Status in World Politics.” </w:t>
      </w:r>
      <w:r w:rsidRPr="00AA151F">
        <w:rPr>
          <w:rFonts w:ascii="Times New Roman" w:hAnsi="Times New Roman" w:cs="Times New Roman"/>
          <w:i/>
          <w:sz w:val="24"/>
          <w:szCs w:val="24"/>
        </w:rPr>
        <w:t>International Studies Quarterly</w:t>
      </w:r>
      <w:r w:rsidRPr="00C13156">
        <w:rPr>
          <w:rFonts w:ascii="Times New Roman" w:hAnsi="Times New Roman" w:cs="Times New Roman"/>
          <w:sz w:val="24"/>
          <w:szCs w:val="24"/>
        </w:rPr>
        <w:t xml:space="preserve"> (forthcoming).</w:t>
      </w:r>
    </w:p>
    <w:p w14:paraId="4E7E4242" w14:textId="30F4477B" w:rsidR="00450CDF" w:rsidRDefault="00450CDF" w:rsidP="00C13156">
      <w:pPr>
        <w:ind w:right="-270"/>
        <w:rPr>
          <w:rFonts w:ascii="Times New Roman" w:hAnsi="Times New Roman" w:cs="Times New Roman"/>
          <w:sz w:val="24"/>
          <w:szCs w:val="24"/>
        </w:rPr>
      </w:pPr>
      <w:r>
        <w:rPr>
          <w:rFonts w:ascii="Times New Roman" w:hAnsi="Times New Roman" w:cs="Times New Roman"/>
          <w:sz w:val="24"/>
          <w:szCs w:val="24"/>
        </w:rPr>
        <w:t xml:space="preserve">Wohlforth, William C. 2009. “Unipolarity, status competition, and great power war.” </w:t>
      </w:r>
      <w:r w:rsidRPr="00450CDF">
        <w:rPr>
          <w:rFonts w:ascii="Times New Roman" w:hAnsi="Times New Roman" w:cs="Times New Roman"/>
          <w:i/>
          <w:sz w:val="24"/>
          <w:szCs w:val="24"/>
        </w:rPr>
        <w:t>World Politics</w:t>
      </w:r>
      <w:r>
        <w:rPr>
          <w:rFonts w:ascii="Times New Roman" w:hAnsi="Times New Roman" w:cs="Times New Roman"/>
          <w:sz w:val="24"/>
          <w:szCs w:val="24"/>
        </w:rPr>
        <w:t>, 61, 1: 28-57.</w:t>
      </w:r>
    </w:p>
    <w:p w14:paraId="027024BB" w14:textId="5F16229B" w:rsidR="00BC0C6A" w:rsidRDefault="00C13156" w:rsidP="00BE22E0">
      <w:pPr>
        <w:ind w:right="-270"/>
        <w:rPr>
          <w:rFonts w:ascii="Times New Roman" w:hAnsi="Times New Roman" w:cs="Times New Roman"/>
          <w:sz w:val="24"/>
          <w:szCs w:val="24"/>
        </w:rPr>
      </w:pPr>
      <w:r w:rsidRPr="00C13156">
        <w:rPr>
          <w:rFonts w:ascii="Times New Roman" w:hAnsi="Times New Roman" w:cs="Times New Roman"/>
          <w:sz w:val="24"/>
          <w:szCs w:val="24"/>
        </w:rPr>
        <w:t xml:space="preserve">Wohlforth, William C., Benjamin de </w:t>
      </w:r>
      <w:proofErr w:type="spellStart"/>
      <w:r w:rsidRPr="00C13156">
        <w:rPr>
          <w:rFonts w:ascii="Times New Roman" w:hAnsi="Times New Roman" w:cs="Times New Roman"/>
          <w:sz w:val="24"/>
          <w:szCs w:val="24"/>
        </w:rPr>
        <w:t>Carvalho</w:t>
      </w:r>
      <w:proofErr w:type="spellEnd"/>
      <w:r w:rsidRPr="00C13156">
        <w:rPr>
          <w:rFonts w:ascii="Times New Roman" w:hAnsi="Times New Roman" w:cs="Times New Roman"/>
          <w:sz w:val="24"/>
          <w:szCs w:val="24"/>
        </w:rPr>
        <w:t xml:space="preserve">, </w:t>
      </w:r>
      <w:proofErr w:type="spellStart"/>
      <w:r w:rsidRPr="00C13156">
        <w:rPr>
          <w:rFonts w:ascii="Times New Roman" w:hAnsi="Times New Roman" w:cs="Times New Roman"/>
          <w:sz w:val="24"/>
          <w:szCs w:val="24"/>
        </w:rPr>
        <w:t>Halvard</w:t>
      </w:r>
      <w:proofErr w:type="spellEnd"/>
      <w:r w:rsidRPr="00C13156">
        <w:rPr>
          <w:rFonts w:ascii="Times New Roman" w:hAnsi="Times New Roman" w:cs="Times New Roman"/>
          <w:sz w:val="24"/>
          <w:szCs w:val="24"/>
        </w:rPr>
        <w:t xml:space="preserve"> </w:t>
      </w:r>
      <w:proofErr w:type="spellStart"/>
      <w:r w:rsidRPr="00C13156">
        <w:rPr>
          <w:rFonts w:ascii="Times New Roman" w:hAnsi="Times New Roman" w:cs="Times New Roman"/>
          <w:sz w:val="24"/>
          <w:szCs w:val="24"/>
        </w:rPr>
        <w:t>Leira</w:t>
      </w:r>
      <w:proofErr w:type="spellEnd"/>
      <w:r w:rsidRPr="00C13156">
        <w:rPr>
          <w:rFonts w:ascii="Times New Roman" w:hAnsi="Times New Roman" w:cs="Times New Roman"/>
          <w:sz w:val="24"/>
          <w:szCs w:val="24"/>
        </w:rPr>
        <w:t xml:space="preserve">, and </w:t>
      </w:r>
      <w:proofErr w:type="spellStart"/>
      <w:r w:rsidRPr="00C13156">
        <w:rPr>
          <w:rFonts w:ascii="Times New Roman" w:hAnsi="Times New Roman" w:cs="Times New Roman"/>
          <w:sz w:val="24"/>
          <w:szCs w:val="24"/>
        </w:rPr>
        <w:t>Iver</w:t>
      </w:r>
      <w:proofErr w:type="spellEnd"/>
      <w:r w:rsidRPr="00C13156">
        <w:rPr>
          <w:rFonts w:ascii="Times New Roman" w:hAnsi="Times New Roman" w:cs="Times New Roman"/>
          <w:sz w:val="24"/>
          <w:szCs w:val="24"/>
        </w:rPr>
        <w:t xml:space="preserve"> B. Neumann. 2017. “Moral authority and status in International Relations: Good states and the social dimension of status seeking.” </w:t>
      </w:r>
      <w:r w:rsidRPr="00C13156">
        <w:rPr>
          <w:rFonts w:ascii="Times New Roman" w:hAnsi="Times New Roman" w:cs="Times New Roman"/>
          <w:i/>
          <w:sz w:val="24"/>
          <w:szCs w:val="24"/>
        </w:rPr>
        <w:t>Review of International Studies</w:t>
      </w:r>
      <w:r w:rsidRPr="00C13156">
        <w:rPr>
          <w:rFonts w:ascii="Times New Roman" w:hAnsi="Times New Roman" w:cs="Times New Roman"/>
          <w:sz w:val="24"/>
          <w:szCs w:val="24"/>
        </w:rPr>
        <w:t>, 1-21, online as doi:10.1017/S0260210517000560.</w:t>
      </w:r>
    </w:p>
    <w:p w14:paraId="17ED5AA1" w14:textId="09B2EF6D" w:rsidR="004E50F4" w:rsidRPr="004E50F4" w:rsidRDefault="004E50F4" w:rsidP="004E50F4">
      <w:pPr>
        <w:spacing w:after="0" w:line="240" w:lineRule="auto"/>
        <w:rPr>
          <w:rFonts w:ascii="Times New Roman" w:eastAsia="Times New Roman" w:hAnsi="Times New Roman" w:cs="Times New Roman"/>
          <w:sz w:val="24"/>
          <w:szCs w:val="24"/>
        </w:rPr>
      </w:pPr>
      <w:r w:rsidRPr="004E50F4">
        <w:rPr>
          <w:rFonts w:ascii="Times New Roman" w:eastAsia="Times New Roman" w:hAnsi="Times New Roman" w:cs="Times New Roman"/>
          <w:sz w:val="24"/>
          <w:szCs w:val="24"/>
        </w:rPr>
        <w:t xml:space="preserve">World Bank, World Development Indicators. GDP (constant 2010 US$): </w:t>
      </w:r>
      <w:hyperlink r:id="rId21" w:history="1">
        <w:r w:rsidRPr="004E50F4">
          <w:rPr>
            <w:rFonts w:ascii="Times New Roman" w:eastAsia="Times New Roman" w:hAnsi="Times New Roman" w:cs="Times New Roman"/>
            <w:color w:val="0000FF"/>
            <w:sz w:val="24"/>
            <w:szCs w:val="24"/>
            <w:u w:val="single"/>
          </w:rPr>
          <w:t>https://data.worldbank.org/indicator/NY.GDP.MKTP.KD</w:t>
        </w:r>
      </w:hyperlink>
    </w:p>
    <w:p w14:paraId="07BA8F1C" w14:textId="572EB37A" w:rsidR="004E50F4" w:rsidRDefault="004E50F4" w:rsidP="004E50F4">
      <w:pPr>
        <w:spacing w:after="0" w:line="240" w:lineRule="auto"/>
        <w:rPr>
          <w:rFonts w:ascii="Times New Roman" w:eastAsia="Times New Roman" w:hAnsi="Times New Roman" w:cs="Times New Roman"/>
          <w:sz w:val="24"/>
          <w:szCs w:val="24"/>
        </w:rPr>
      </w:pPr>
    </w:p>
    <w:p w14:paraId="35A8209E" w14:textId="3EDAC0AB" w:rsidR="00C07011" w:rsidRDefault="00C07011" w:rsidP="004E50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Bank, Worldwide Governance Indicators (WGI) Project. Government Effectiveness: </w:t>
      </w:r>
      <w:hyperlink r:id="rId22" w:history="1">
        <w:r w:rsidRPr="009142B8">
          <w:rPr>
            <w:rStyle w:val="Hyperlink"/>
            <w:rFonts w:ascii="Times New Roman" w:eastAsia="Times New Roman" w:hAnsi="Times New Roman" w:cs="Times New Roman"/>
            <w:sz w:val="24"/>
            <w:szCs w:val="24"/>
          </w:rPr>
          <w:t>http://info.worldbank.org/governance/wgi</w:t>
        </w:r>
      </w:hyperlink>
    </w:p>
    <w:p w14:paraId="33172F80" w14:textId="77777777" w:rsidR="00C07011" w:rsidRDefault="00C07011" w:rsidP="004E50F4">
      <w:pPr>
        <w:spacing w:after="0" w:line="240" w:lineRule="auto"/>
        <w:rPr>
          <w:rFonts w:ascii="Times New Roman" w:eastAsia="Times New Roman" w:hAnsi="Times New Roman" w:cs="Times New Roman"/>
          <w:sz w:val="24"/>
          <w:szCs w:val="24"/>
        </w:rPr>
      </w:pPr>
    </w:p>
    <w:p w14:paraId="46E09C8C" w14:textId="313BBE14" w:rsidR="00C07011" w:rsidRDefault="00C07011" w:rsidP="004E50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Bank, Worldwide Governance Indicators (WGI) Project, Control of Corruption: </w:t>
      </w:r>
      <w:hyperlink r:id="rId23" w:history="1">
        <w:r w:rsidRPr="009142B8">
          <w:rPr>
            <w:rStyle w:val="Hyperlink"/>
            <w:rFonts w:ascii="Times New Roman" w:eastAsia="Times New Roman" w:hAnsi="Times New Roman" w:cs="Times New Roman"/>
            <w:sz w:val="24"/>
            <w:szCs w:val="24"/>
          </w:rPr>
          <w:t>http://info.worldbank.org/governance/wgi</w:t>
        </w:r>
      </w:hyperlink>
    </w:p>
    <w:p w14:paraId="443574E8" w14:textId="77777777" w:rsidR="00C07011" w:rsidRPr="004E50F4" w:rsidRDefault="00C07011" w:rsidP="004E50F4">
      <w:pPr>
        <w:spacing w:after="0" w:line="240" w:lineRule="auto"/>
        <w:rPr>
          <w:rFonts w:ascii="Times New Roman" w:eastAsia="Times New Roman" w:hAnsi="Times New Roman" w:cs="Times New Roman"/>
          <w:sz w:val="24"/>
          <w:szCs w:val="24"/>
        </w:rPr>
      </w:pPr>
    </w:p>
    <w:p w14:paraId="57D6298E" w14:textId="2E038957" w:rsidR="002F42F9" w:rsidRDefault="002F42F9" w:rsidP="00BE22E0">
      <w:pPr>
        <w:ind w:right="-270"/>
        <w:rPr>
          <w:rFonts w:ascii="Times New Roman" w:hAnsi="Times New Roman" w:cs="Times New Roman"/>
          <w:sz w:val="24"/>
          <w:szCs w:val="24"/>
        </w:rPr>
      </w:pPr>
    </w:p>
    <w:sectPr w:rsidR="002F42F9">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A441E" w14:textId="77777777" w:rsidR="00B8425A" w:rsidRDefault="00B8425A" w:rsidP="008D333F">
      <w:pPr>
        <w:spacing w:after="0" w:line="240" w:lineRule="auto"/>
      </w:pPr>
      <w:r>
        <w:separator/>
      </w:r>
    </w:p>
  </w:endnote>
  <w:endnote w:type="continuationSeparator" w:id="0">
    <w:p w14:paraId="3A846EA2" w14:textId="77777777" w:rsidR="00B8425A" w:rsidRDefault="00B8425A" w:rsidP="008D3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932225"/>
      <w:docPartObj>
        <w:docPartGallery w:val="Page Numbers (Bottom of Page)"/>
        <w:docPartUnique/>
      </w:docPartObj>
    </w:sdtPr>
    <w:sdtEndPr>
      <w:rPr>
        <w:noProof/>
      </w:rPr>
    </w:sdtEndPr>
    <w:sdtContent>
      <w:p w14:paraId="62C14EDF" w14:textId="5B6B68C2" w:rsidR="00FC09ED" w:rsidRDefault="00FC09ED">
        <w:pPr>
          <w:pStyle w:val="Footer"/>
          <w:jc w:val="right"/>
        </w:pPr>
        <w:r>
          <w:fldChar w:fldCharType="begin"/>
        </w:r>
        <w:r>
          <w:instrText xml:space="preserve"> PAGE   \* MERGEFORMAT </w:instrText>
        </w:r>
        <w:r>
          <w:fldChar w:fldCharType="separate"/>
        </w:r>
        <w:r w:rsidR="00306E8D">
          <w:rPr>
            <w:noProof/>
          </w:rPr>
          <w:t>22</w:t>
        </w:r>
        <w:r>
          <w:rPr>
            <w:noProof/>
          </w:rPr>
          <w:fldChar w:fldCharType="end"/>
        </w:r>
      </w:p>
    </w:sdtContent>
  </w:sdt>
  <w:p w14:paraId="75AEB733" w14:textId="77777777" w:rsidR="00FC09ED" w:rsidRDefault="00FC0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4358C" w14:textId="77777777" w:rsidR="00B8425A" w:rsidRDefault="00B8425A" w:rsidP="008D333F">
      <w:pPr>
        <w:spacing w:after="0" w:line="240" w:lineRule="auto"/>
      </w:pPr>
      <w:r>
        <w:separator/>
      </w:r>
    </w:p>
  </w:footnote>
  <w:footnote w:type="continuationSeparator" w:id="0">
    <w:p w14:paraId="166B978D" w14:textId="77777777" w:rsidR="00B8425A" w:rsidRDefault="00B8425A" w:rsidP="008D333F">
      <w:pPr>
        <w:spacing w:after="0" w:line="240" w:lineRule="auto"/>
      </w:pPr>
      <w:r>
        <w:continuationSeparator/>
      </w:r>
    </w:p>
  </w:footnote>
  <w:footnote w:id="1">
    <w:p w14:paraId="288B717C" w14:textId="248B9C26" w:rsidR="00FC09ED" w:rsidRDefault="00FC09ED">
      <w:pPr>
        <w:pStyle w:val="FootnoteText"/>
      </w:pPr>
      <w:r>
        <w:rPr>
          <w:rStyle w:val="FootnoteReference"/>
        </w:rPr>
        <w:footnoteRef/>
      </w:r>
      <w:r>
        <w:t xml:space="preserve"> Excellent reviews of much of this literature can be found in Defoe et al. 2014 and </w:t>
      </w:r>
      <w:proofErr w:type="spellStart"/>
      <w:r>
        <w:t>Renshon</w:t>
      </w:r>
      <w:proofErr w:type="spellEnd"/>
      <w:r>
        <w:t xml:space="preserve"> 2017. Examples of the early literature include East 1972, Wallace 1973, Ray 1974, and </w:t>
      </w:r>
      <w:proofErr w:type="spellStart"/>
      <w:r>
        <w:t>Gochman</w:t>
      </w:r>
      <w:proofErr w:type="spellEnd"/>
      <w:r>
        <w:t xml:space="preserve"> 1980.  Examples of recent post-Cold War scholarship include Larson and Shevchenko 2003 and 2010, Deng 2008, </w:t>
      </w:r>
      <w:proofErr w:type="spellStart"/>
      <w:r>
        <w:t>Wohlforth</w:t>
      </w:r>
      <w:proofErr w:type="spellEnd"/>
      <w:r>
        <w:t xml:space="preserve"> 2009, </w:t>
      </w:r>
      <w:proofErr w:type="spellStart"/>
      <w:r>
        <w:t>Kinne</w:t>
      </w:r>
      <w:proofErr w:type="spellEnd"/>
      <w:r>
        <w:t xml:space="preserve"> 2014, Paul et al. 2014, </w:t>
      </w:r>
      <w:proofErr w:type="spellStart"/>
      <w:r>
        <w:t>Renshon</w:t>
      </w:r>
      <w:proofErr w:type="spellEnd"/>
      <w:r>
        <w:t xml:space="preserve"> 2017, </w:t>
      </w:r>
      <w:proofErr w:type="spellStart"/>
      <w:r>
        <w:t>Wohlforth</w:t>
      </w:r>
      <w:proofErr w:type="spellEnd"/>
      <w:r>
        <w:t xml:space="preserve"> et al. 2017, Wohlforth 2009, Duque 2018, and Ward 2018. Of course, the focus on status considerations goes back much further and ranges from Thucydides through Morgenthau. </w:t>
      </w:r>
    </w:p>
  </w:footnote>
  <w:footnote w:id="2">
    <w:p w14:paraId="0AF646E4" w14:textId="2B1678D0" w:rsidR="00FC09ED" w:rsidRDefault="00FC09ED">
      <w:pPr>
        <w:pStyle w:val="FootnoteText"/>
      </w:pPr>
      <w:r>
        <w:rPr>
          <w:rStyle w:val="FootnoteReference"/>
        </w:rPr>
        <w:footnoteRef/>
      </w:r>
      <w:r>
        <w:t xml:space="preserve"> Fisher-</w:t>
      </w:r>
      <w:proofErr w:type="spellStart"/>
      <w:r>
        <w:t>Onar</w:t>
      </w:r>
      <w:proofErr w:type="spellEnd"/>
      <w:r>
        <w:t xml:space="preserve"> (2018) classifies the Eurasian states (China, Russia, Turkey and Iran) as “resurgent” rather than rising powers to emphasize their historical status. We continue to use the term “rising” to allow comparison with “rising” powers that may not have been major powers historically.</w:t>
      </w:r>
    </w:p>
  </w:footnote>
  <w:footnote w:id="3">
    <w:p w14:paraId="7B377D6F" w14:textId="24EFD251" w:rsidR="00FC09ED" w:rsidRDefault="00FC09ED">
      <w:pPr>
        <w:pStyle w:val="FootnoteText"/>
      </w:pPr>
      <w:r>
        <w:rPr>
          <w:rStyle w:val="FootnoteReference"/>
        </w:rPr>
        <w:footnoteRef/>
      </w:r>
      <w:r>
        <w:t xml:space="preserve"> The operationalization of these dimensions is discussed in Volgy et al. 2011 for major powers, and in Cline et al. 2011 for regional powers.</w:t>
      </w:r>
      <w:r w:rsidRPr="004E7ADC">
        <w:t xml:space="preserve"> </w:t>
      </w:r>
      <w:r>
        <w:t xml:space="preserve">The determination for whether or not a state receives major power status is based on two measures: official state visits and high level diplomatic representation received; both of those measure require counts that are at least two standard deviation from the mean for all states in order to cross the threshold of membership in the club. Membership in the club requires high status recognition along with similar thresholds for military and economic capacity and reach, and high levels of global activity by the state in question.  </w:t>
      </w:r>
    </w:p>
  </w:footnote>
  <w:footnote w:id="4">
    <w:p w14:paraId="02D4A420" w14:textId="67956FD2" w:rsidR="00FC09ED" w:rsidRDefault="00FC09ED" w:rsidP="00B4610B">
      <w:pPr>
        <w:pStyle w:val="FootnoteText"/>
      </w:pPr>
      <w:r>
        <w:rPr>
          <w:rStyle w:val="FootnoteReference"/>
        </w:rPr>
        <w:footnoteRef/>
      </w:r>
      <w:r>
        <w:t xml:space="preserve"> There is substantial disagreement in the literature over the appropriate reference group(s) for status attribution. We address this issue further below.   </w:t>
      </w:r>
    </w:p>
  </w:footnote>
  <w:footnote w:id="5">
    <w:p w14:paraId="6278318A" w14:textId="4B5963D0" w:rsidR="00FC09ED" w:rsidRDefault="00FC09ED" w:rsidP="00D31608">
      <w:pPr>
        <w:pStyle w:val="FootnoteText"/>
      </w:pPr>
      <w:r>
        <w:rPr>
          <w:rStyle w:val="FootnoteReference"/>
        </w:rPr>
        <w:footnoteRef/>
      </w:r>
      <w:r>
        <w:t xml:space="preserve"> Here, we use a measure of status positioning based on the extent to which states receive embassies to their capitals, including only those embassies that also contain high-ranking diplomatic representatives. Data are from Rhamey et al. 2013. For a similar use of diplomatic representation and its validity, see Duque 2018</w:t>
      </w:r>
      <w:r w:rsidR="00FD39DC">
        <w:t>, Miller et al. 2015)</w:t>
      </w:r>
      <w:r>
        <w:t>.</w:t>
      </w:r>
    </w:p>
    <w:p w14:paraId="233A3D02" w14:textId="0C6A49B2" w:rsidR="00FC09ED" w:rsidRDefault="00FC09ED" w:rsidP="00D31608">
      <w:pPr>
        <w:pStyle w:val="FootnoteText"/>
      </w:pPr>
    </w:p>
  </w:footnote>
  <w:footnote w:id="6">
    <w:p w14:paraId="07BA55BF" w14:textId="6DE39049" w:rsidR="00FC09ED" w:rsidRDefault="00FC09ED">
      <w:pPr>
        <w:pStyle w:val="FootnoteText"/>
      </w:pPr>
      <w:r>
        <w:rPr>
          <w:rStyle w:val="FootnoteReference"/>
        </w:rPr>
        <w:footnoteRef/>
      </w:r>
      <w:r>
        <w:t xml:space="preserve"> Which likely increases Russian frustration with its relative status in the major power club hierarchy. </w:t>
      </w:r>
    </w:p>
  </w:footnote>
  <w:footnote w:id="7">
    <w:p w14:paraId="4445BD94" w14:textId="0A40F00A" w:rsidR="00FC09ED" w:rsidRDefault="00FC09ED">
      <w:pPr>
        <w:pStyle w:val="FootnoteText"/>
      </w:pPr>
      <w:r>
        <w:rPr>
          <w:rStyle w:val="FootnoteReference"/>
        </w:rPr>
        <w:footnoteRef/>
      </w:r>
      <w:r>
        <w:t xml:space="preserve"> Capability does not equal destiny, but it is a necessary condition for a substantial global presence. We note that both India and Brazil have attempted to dramatically increase their presence in sub-Saharan Africa, but their aspirations ran aground as their foreign policy establishments lacked sufficient capacity to engage most African states. For example, both the Brazilian and Indian diplomatic corps are substantially smaller than that of Singapore’s. </w:t>
      </w:r>
    </w:p>
  </w:footnote>
  <w:footnote w:id="8">
    <w:p w14:paraId="2ABB4622" w14:textId="7B6570EC" w:rsidR="00FC09ED" w:rsidRDefault="00FC09ED">
      <w:pPr>
        <w:pStyle w:val="FootnoteText"/>
      </w:pPr>
      <w:r>
        <w:rPr>
          <w:rStyle w:val="FootnoteReference"/>
        </w:rPr>
        <w:footnoteRef/>
      </w:r>
      <w:r>
        <w:t xml:space="preserve"> Note the Russian exception: it is the only state in the major power club with negative values on governmental effectiveness. Its status however is likely a part of the halo effect left over from the Cold War era during which its governmental effectiveness was also substantially higher. It is also the only other state besides the US with very substantial strategic nuclear capabilities, providing it with a highly destructive global reach.</w:t>
      </w:r>
    </w:p>
  </w:footnote>
  <w:footnote w:id="9">
    <w:p w14:paraId="376DF4C8" w14:textId="5E610765" w:rsidR="00FC09ED" w:rsidRDefault="00FC09ED">
      <w:pPr>
        <w:pStyle w:val="FootnoteText"/>
      </w:pPr>
      <w:r>
        <w:rPr>
          <w:rStyle w:val="FootnoteReference"/>
        </w:rPr>
        <w:footnoteRef/>
      </w:r>
      <w:r>
        <w:t xml:space="preserve"> </w:t>
      </w:r>
      <w:proofErr w:type="spellStart"/>
      <w:r>
        <w:t>Renshon</w:t>
      </w:r>
      <w:proofErr w:type="spellEnd"/>
      <w:r>
        <w:t xml:space="preserve"> (2016) identifies conditions under which status “dissatisfaction may occur”. Likewise, Volgy et al. (2011) note that within the major power club’s hierarchy, some states are status consistent (and less likely to be dissatisfied with their status) while others are either overachievers or underachievers, and are more likely to be concerned about their standing in the club.</w:t>
      </w:r>
    </w:p>
  </w:footnote>
  <w:footnote w:id="10">
    <w:p w14:paraId="530DC7DD" w14:textId="77777777" w:rsidR="00FC09ED" w:rsidRDefault="00FC09ED" w:rsidP="009B0306">
      <w:pPr>
        <w:pStyle w:val="FootnoteText"/>
      </w:pPr>
      <w:r>
        <w:rPr>
          <w:rStyle w:val="FootnoteReference"/>
        </w:rPr>
        <w:footnoteRef/>
      </w:r>
      <w:r>
        <w:t xml:space="preserve"> Duque (2018:18) similarly argues, based on a network analysis of status recognition, that contrary to the assumption in much of the literature, status-seeking behavior “may also be cooperative behavior. Status may thus contribute to the maintenance of international order.” </w:t>
      </w:r>
    </w:p>
  </w:footnote>
  <w:footnote w:id="11">
    <w:p w14:paraId="71BC32D0" w14:textId="3632FE05" w:rsidR="00FC09ED" w:rsidRDefault="00FC09ED" w:rsidP="00AE0AE9">
      <w:pPr>
        <w:pStyle w:val="FootnoteText"/>
      </w:pPr>
      <w:r>
        <w:rPr>
          <w:rStyle w:val="FootnoteReference"/>
        </w:rPr>
        <w:footnoteRef/>
      </w:r>
      <w:r>
        <w:t xml:space="preserve"> </w:t>
      </w:r>
      <w:proofErr w:type="spellStart"/>
      <w:r>
        <w:t>Wohlforth’s</w:t>
      </w:r>
      <w:proofErr w:type="spellEnd"/>
      <w:r>
        <w:t xml:space="preserve"> arguments are about major powers, but they may apply to both regional powers and “rising” powers.</w:t>
      </w:r>
    </w:p>
  </w:footnote>
  <w:footnote w:id="12">
    <w:p w14:paraId="4279F417" w14:textId="693E0E8A" w:rsidR="00FC09ED" w:rsidRDefault="00FC09ED">
      <w:pPr>
        <w:pStyle w:val="FootnoteText"/>
      </w:pPr>
      <w:r>
        <w:rPr>
          <w:rStyle w:val="FootnoteReference"/>
        </w:rPr>
        <w:footnoteRef/>
      </w:r>
      <w:r>
        <w:t xml:space="preserve"> This would be the case for rising powers; for declining powers the objective would be to maintain both club membership and the relative ranking within the club.</w:t>
      </w:r>
    </w:p>
  </w:footnote>
  <w:footnote w:id="13">
    <w:p w14:paraId="214A171D" w14:textId="431DC0F2" w:rsidR="00FC09ED" w:rsidRDefault="00FC09ED">
      <w:pPr>
        <w:pStyle w:val="FootnoteText"/>
      </w:pPr>
      <w:r>
        <w:rPr>
          <w:rStyle w:val="FootnoteReference"/>
        </w:rPr>
        <w:footnoteRef/>
      </w:r>
      <w:r>
        <w:t xml:space="preserve"> For a different conceptualization of the “relevant” other, see </w:t>
      </w:r>
      <w:proofErr w:type="spellStart"/>
      <w:r>
        <w:t>Renshon</w:t>
      </w:r>
      <w:proofErr w:type="spellEnd"/>
      <w:r>
        <w:t xml:space="preserve"> 2017.</w:t>
      </w:r>
    </w:p>
  </w:footnote>
  <w:footnote w:id="14">
    <w:p w14:paraId="47F87DE9" w14:textId="2143ADA6" w:rsidR="00FC09ED" w:rsidRDefault="00FC09ED">
      <w:pPr>
        <w:pStyle w:val="FootnoteText"/>
      </w:pPr>
      <w:r>
        <w:rPr>
          <w:rStyle w:val="FootnoteReference"/>
        </w:rPr>
        <w:footnoteRef/>
      </w:r>
      <w:r>
        <w:t xml:space="preserve"> Albeit its membership in the major power club was contested after the Cold War’s end. Note for instance American President Obama’s now famous remark that Russia is a regional power using coercion as a sign of weakness in response to its loss of status as a superpower (The Guardian 2014). Similarly, at the Track II six-power talks in Seoul, where one of us represented U.S. academia, the Chinese delegation characterized the Russian Federation as a “third world oil producer.” </w:t>
      </w:r>
    </w:p>
  </w:footnote>
  <w:footnote w:id="15">
    <w:p w14:paraId="28AA27B7" w14:textId="005D2B94" w:rsidR="00FC09ED" w:rsidRDefault="00FC09ED">
      <w:pPr>
        <w:pStyle w:val="FootnoteText"/>
      </w:pPr>
      <w:r>
        <w:rPr>
          <w:rStyle w:val="FootnoteReference"/>
        </w:rPr>
        <w:footnoteRef/>
      </w:r>
      <w:r>
        <w:t xml:space="preserve"> Government supported (sponsored) protests against the US broke out across China</w:t>
      </w:r>
      <w:r w:rsidR="007F4E0B">
        <w:t xml:space="preserve"> after the bombing of its embassy</w:t>
      </w:r>
      <w:r>
        <w:t xml:space="preserve">, and the condemnation rhetoric was strong, although the response was otherwise minimal. NBA basketball games were suspended on Chinese television but there was little venom directed against American personnel or businesses inside China. Compare this with the anti-Japanese protests over the East China Sea dispute during which Japanese businesses were vandalized, and Japanese citizens attacked on the streets. See Public Radio International, “How China Used the U.S. Bombing of Its Belgrade Embassy to Win a PR Victory,”  May 5, 2014, retrieved at: </w:t>
      </w:r>
      <w:hyperlink r:id="rId1" w:history="1">
        <w:r w:rsidRPr="00E068FA">
          <w:rPr>
            <w:rStyle w:val="Hyperlink"/>
          </w:rPr>
          <w:t>https://www.pri.org/stories/2014-05-05/how-china-used-us-bombing-its-belgrade-embassy-win-pr-victory</w:t>
        </w:r>
      </w:hyperlink>
    </w:p>
    <w:p w14:paraId="1C5A4661" w14:textId="77777777" w:rsidR="00FC09ED" w:rsidRDefault="00FC09ED">
      <w:pPr>
        <w:pStyle w:val="FootnoteText"/>
      </w:pPr>
    </w:p>
  </w:footnote>
  <w:footnote w:id="16">
    <w:p w14:paraId="0D01B688" w14:textId="52AF1B77" w:rsidR="00FC09ED" w:rsidRDefault="00FC09ED">
      <w:pPr>
        <w:pStyle w:val="FootnoteText"/>
      </w:pPr>
      <w:r>
        <w:rPr>
          <w:rStyle w:val="FootnoteReference"/>
        </w:rPr>
        <w:footnoteRef/>
      </w:r>
      <w:r>
        <w:t xml:space="preserve"> There are institutional contexts however that may actually stimulate status competition between rising powers. For example, enlarging the permanent membership in the UN Security Council may pit one rising power against another while enlargement may also be perceived as a zero sum outcome for states that are already permanent members.</w:t>
      </w:r>
    </w:p>
  </w:footnote>
  <w:footnote w:id="17">
    <w:p w14:paraId="4ABD0FE7" w14:textId="0AC9B58B" w:rsidR="00B51CB6" w:rsidRDefault="00B51CB6">
      <w:pPr>
        <w:pStyle w:val="FootnoteText"/>
      </w:pPr>
      <w:r>
        <w:rPr>
          <w:rStyle w:val="FootnoteReference"/>
        </w:rPr>
        <w:footnoteRef/>
      </w:r>
      <w:r>
        <w:t xml:space="preserve"> Note the case of India as the dominant regional power in South Asia. As the only regional power involved with a strategic rivalry, its ability to construct substantial governance architecture in the region has been relatively unsuccessful.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F56F2B"/>
    <w:multiLevelType w:val="hybridMultilevel"/>
    <w:tmpl w:val="0604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BA39F7"/>
    <w:multiLevelType w:val="hybridMultilevel"/>
    <w:tmpl w:val="066471E8"/>
    <w:lvl w:ilvl="0" w:tplc="AA6EBE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A15CD9"/>
    <w:multiLevelType w:val="hybridMultilevel"/>
    <w:tmpl w:val="9F8ADB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7497CB2"/>
    <w:multiLevelType w:val="hybridMultilevel"/>
    <w:tmpl w:val="912E02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0ED"/>
    <w:rsid w:val="00000512"/>
    <w:rsid w:val="000008E3"/>
    <w:rsid w:val="000035AD"/>
    <w:rsid w:val="00004ECE"/>
    <w:rsid w:val="00005453"/>
    <w:rsid w:val="00007BB8"/>
    <w:rsid w:val="000110ED"/>
    <w:rsid w:val="00012EA6"/>
    <w:rsid w:val="00014B4E"/>
    <w:rsid w:val="00020FD5"/>
    <w:rsid w:val="000366CE"/>
    <w:rsid w:val="00043B35"/>
    <w:rsid w:val="00051FA3"/>
    <w:rsid w:val="000529E5"/>
    <w:rsid w:val="00053642"/>
    <w:rsid w:val="00066543"/>
    <w:rsid w:val="000722DA"/>
    <w:rsid w:val="00082625"/>
    <w:rsid w:val="00083053"/>
    <w:rsid w:val="00092E25"/>
    <w:rsid w:val="00092EF8"/>
    <w:rsid w:val="0009754F"/>
    <w:rsid w:val="000A3708"/>
    <w:rsid w:val="000B323A"/>
    <w:rsid w:val="000B4037"/>
    <w:rsid w:val="000C3CA9"/>
    <w:rsid w:val="000E5656"/>
    <w:rsid w:val="000E65A1"/>
    <w:rsid w:val="000F70CE"/>
    <w:rsid w:val="001107EE"/>
    <w:rsid w:val="00110F94"/>
    <w:rsid w:val="00115F71"/>
    <w:rsid w:val="001264C1"/>
    <w:rsid w:val="001306BD"/>
    <w:rsid w:val="00132DBC"/>
    <w:rsid w:val="00141266"/>
    <w:rsid w:val="00162E6B"/>
    <w:rsid w:val="00184511"/>
    <w:rsid w:val="00186A23"/>
    <w:rsid w:val="001A75C9"/>
    <w:rsid w:val="001B0360"/>
    <w:rsid w:val="001B17CC"/>
    <w:rsid w:val="001B7B65"/>
    <w:rsid w:val="001C272E"/>
    <w:rsid w:val="001D6DF0"/>
    <w:rsid w:val="001E70DF"/>
    <w:rsid w:val="001F5D24"/>
    <w:rsid w:val="001F6678"/>
    <w:rsid w:val="00202041"/>
    <w:rsid w:val="00216B56"/>
    <w:rsid w:val="00216E79"/>
    <w:rsid w:val="00220AC4"/>
    <w:rsid w:val="00242A68"/>
    <w:rsid w:val="002479EA"/>
    <w:rsid w:val="002543AD"/>
    <w:rsid w:val="00265563"/>
    <w:rsid w:val="00272C08"/>
    <w:rsid w:val="0027492B"/>
    <w:rsid w:val="00275B9A"/>
    <w:rsid w:val="00285425"/>
    <w:rsid w:val="00287A00"/>
    <w:rsid w:val="00294749"/>
    <w:rsid w:val="00294957"/>
    <w:rsid w:val="002A353A"/>
    <w:rsid w:val="002B291D"/>
    <w:rsid w:val="002C166A"/>
    <w:rsid w:val="002C7AAE"/>
    <w:rsid w:val="002D1EC1"/>
    <w:rsid w:val="002E2CE6"/>
    <w:rsid w:val="002E7E86"/>
    <w:rsid w:val="002F354C"/>
    <w:rsid w:val="002F42F9"/>
    <w:rsid w:val="002F6845"/>
    <w:rsid w:val="00306E8D"/>
    <w:rsid w:val="0031252E"/>
    <w:rsid w:val="00315199"/>
    <w:rsid w:val="00323F8D"/>
    <w:rsid w:val="003431C7"/>
    <w:rsid w:val="003466B6"/>
    <w:rsid w:val="00352649"/>
    <w:rsid w:val="00363E43"/>
    <w:rsid w:val="00372270"/>
    <w:rsid w:val="0038722C"/>
    <w:rsid w:val="00396607"/>
    <w:rsid w:val="003A520D"/>
    <w:rsid w:val="003B4471"/>
    <w:rsid w:val="003B78DA"/>
    <w:rsid w:val="003C3E42"/>
    <w:rsid w:val="003E16C2"/>
    <w:rsid w:val="003F016C"/>
    <w:rsid w:val="003F5197"/>
    <w:rsid w:val="003F7996"/>
    <w:rsid w:val="00405959"/>
    <w:rsid w:val="004144E3"/>
    <w:rsid w:val="0043038C"/>
    <w:rsid w:val="0043132C"/>
    <w:rsid w:val="004327C5"/>
    <w:rsid w:val="00450CDF"/>
    <w:rsid w:val="00461E93"/>
    <w:rsid w:val="00472024"/>
    <w:rsid w:val="00474CE5"/>
    <w:rsid w:val="0047535C"/>
    <w:rsid w:val="00475FEE"/>
    <w:rsid w:val="00480279"/>
    <w:rsid w:val="004820E0"/>
    <w:rsid w:val="00483C3B"/>
    <w:rsid w:val="004845C3"/>
    <w:rsid w:val="004B1003"/>
    <w:rsid w:val="004B2573"/>
    <w:rsid w:val="004B681D"/>
    <w:rsid w:val="004C6028"/>
    <w:rsid w:val="004E50F4"/>
    <w:rsid w:val="004E7ADC"/>
    <w:rsid w:val="004F2A2F"/>
    <w:rsid w:val="004F39B1"/>
    <w:rsid w:val="00504BB5"/>
    <w:rsid w:val="00506060"/>
    <w:rsid w:val="005104BF"/>
    <w:rsid w:val="00513206"/>
    <w:rsid w:val="00513E61"/>
    <w:rsid w:val="0051459F"/>
    <w:rsid w:val="0051678C"/>
    <w:rsid w:val="005255E9"/>
    <w:rsid w:val="00531E6C"/>
    <w:rsid w:val="00542327"/>
    <w:rsid w:val="0054419D"/>
    <w:rsid w:val="00546B94"/>
    <w:rsid w:val="005502DA"/>
    <w:rsid w:val="005553F9"/>
    <w:rsid w:val="005564C1"/>
    <w:rsid w:val="0055668E"/>
    <w:rsid w:val="0057555B"/>
    <w:rsid w:val="00581B91"/>
    <w:rsid w:val="005861CD"/>
    <w:rsid w:val="00594B2F"/>
    <w:rsid w:val="00596737"/>
    <w:rsid w:val="005C6170"/>
    <w:rsid w:val="005D1A30"/>
    <w:rsid w:val="00607959"/>
    <w:rsid w:val="0061371C"/>
    <w:rsid w:val="00617B4F"/>
    <w:rsid w:val="0062394D"/>
    <w:rsid w:val="00627FB0"/>
    <w:rsid w:val="00643749"/>
    <w:rsid w:val="00647BD2"/>
    <w:rsid w:val="00650E99"/>
    <w:rsid w:val="006510EA"/>
    <w:rsid w:val="006644CB"/>
    <w:rsid w:val="00675D95"/>
    <w:rsid w:val="0069470D"/>
    <w:rsid w:val="00694AEE"/>
    <w:rsid w:val="00696852"/>
    <w:rsid w:val="006D1350"/>
    <w:rsid w:val="006E22FE"/>
    <w:rsid w:val="00705258"/>
    <w:rsid w:val="00706B00"/>
    <w:rsid w:val="00714961"/>
    <w:rsid w:val="00724F7F"/>
    <w:rsid w:val="00733269"/>
    <w:rsid w:val="00737F57"/>
    <w:rsid w:val="007402C9"/>
    <w:rsid w:val="007463C6"/>
    <w:rsid w:val="00746DF4"/>
    <w:rsid w:val="00750970"/>
    <w:rsid w:val="0076357B"/>
    <w:rsid w:val="0076695B"/>
    <w:rsid w:val="00796B6E"/>
    <w:rsid w:val="007A147A"/>
    <w:rsid w:val="007A33AC"/>
    <w:rsid w:val="007A75EB"/>
    <w:rsid w:val="007A7AC3"/>
    <w:rsid w:val="007C1AAD"/>
    <w:rsid w:val="007D30FF"/>
    <w:rsid w:val="007D5EB4"/>
    <w:rsid w:val="007F1138"/>
    <w:rsid w:val="007F234E"/>
    <w:rsid w:val="007F4E0B"/>
    <w:rsid w:val="007F730D"/>
    <w:rsid w:val="00816DD9"/>
    <w:rsid w:val="0082049C"/>
    <w:rsid w:val="008256BD"/>
    <w:rsid w:val="00830383"/>
    <w:rsid w:val="008360E7"/>
    <w:rsid w:val="00845178"/>
    <w:rsid w:val="00847E9F"/>
    <w:rsid w:val="00855D7A"/>
    <w:rsid w:val="00863377"/>
    <w:rsid w:val="00873769"/>
    <w:rsid w:val="0088057D"/>
    <w:rsid w:val="00886C9D"/>
    <w:rsid w:val="00891580"/>
    <w:rsid w:val="00895C94"/>
    <w:rsid w:val="00897123"/>
    <w:rsid w:val="008A3F21"/>
    <w:rsid w:val="008D09B0"/>
    <w:rsid w:val="008D11FB"/>
    <w:rsid w:val="008D333F"/>
    <w:rsid w:val="008D7B3D"/>
    <w:rsid w:val="008E0B2C"/>
    <w:rsid w:val="008F5508"/>
    <w:rsid w:val="009032B0"/>
    <w:rsid w:val="009037E0"/>
    <w:rsid w:val="0090463A"/>
    <w:rsid w:val="009060A9"/>
    <w:rsid w:val="009074CD"/>
    <w:rsid w:val="009117B8"/>
    <w:rsid w:val="00923411"/>
    <w:rsid w:val="00927E94"/>
    <w:rsid w:val="00934BB9"/>
    <w:rsid w:val="009443E9"/>
    <w:rsid w:val="00951534"/>
    <w:rsid w:val="00951E93"/>
    <w:rsid w:val="00953049"/>
    <w:rsid w:val="00962390"/>
    <w:rsid w:val="0096586D"/>
    <w:rsid w:val="0097195B"/>
    <w:rsid w:val="009852DF"/>
    <w:rsid w:val="00986285"/>
    <w:rsid w:val="00986472"/>
    <w:rsid w:val="009B0306"/>
    <w:rsid w:val="009B632A"/>
    <w:rsid w:val="009C420B"/>
    <w:rsid w:val="00A26D56"/>
    <w:rsid w:val="00A33A3C"/>
    <w:rsid w:val="00A35B38"/>
    <w:rsid w:val="00A40F49"/>
    <w:rsid w:val="00A42574"/>
    <w:rsid w:val="00A459CA"/>
    <w:rsid w:val="00A47E9B"/>
    <w:rsid w:val="00A638A2"/>
    <w:rsid w:val="00A6425F"/>
    <w:rsid w:val="00A71F3F"/>
    <w:rsid w:val="00A736F4"/>
    <w:rsid w:val="00A830D9"/>
    <w:rsid w:val="00A906B0"/>
    <w:rsid w:val="00A94F25"/>
    <w:rsid w:val="00AA151F"/>
    <w:rsid w:val="00AB1A45"/>
    <w:rsid w:val="00AB2128"/>
    <w:rsid w:val="00AB4BF0"/>
    <w:rsid w:val="00AC16D7"/>
    <w:rsid w:val="00AD4AF6"/>
    <w:rsid w:val="00AE0AE9"/>
    <w:rsid w:val="00AE68F1"/>
    <w:rsid w:val="00AE72BE"/>
    <w:rsid w:val="00AF0797"/>
    <w:rsid w:val="00AF293E"/>
    <w:rsid w:val="00AF2CBE"/>
    <w:rsid w:val="00B30246"/>
    <w:rsid w:val="00B3156C"/>
    <w:rsid w:val="00B41496"/>
    <w:rsid w:val="00B4610B"/>
    <w:rsid w:val="00B51CB6"/>
    <w:rsid w:val="00B8425A"/>
    <w:rsid w:val="00B97A3B"/>
    <w:rsid w:val="00BA0548"/>
    <w:rsid w:val="00BA0FD4"/>
    <w:rsid w:val="00BB783D"/>
    <w:rsid w:val="00BC0C6A"/>
    <w:rsid w:val="00BC393A"/>
    <w:rsid w:val="00BC42BE"/>
    <w:rsid w:val="00BD09D0"/>
    <w:rsid w:val="00BD64B8"/>
    <w:rsid w:val="00BE22E0"/>
    <w:rsid w:val="00BE2D8F"/>
    <w:rsid w:val="00BF3B92"/>
    <w:rsid w:val="00C05309"/>
    <w:rsid w:val="00C07011"/>
    <w:rsid w:val="00C13156"/>
    <w:rsid w:val="00C14EF9"/>
    <w:rsid w:val="00C244D6"/>
    <w:rsid w:val="00C24B90"/>
    <w:rsid w:val="00C3211F"/>
    <w:rsid w:val="00C34F17"/>
    <w:rsid w:val="00C414E1"/>
    <w:rsid w:val="00C55587"/>
    <w:rsid w:val="00C61902"/>
    <w:rsid w:val="00C712F1"/>
    <w:rsid w:val="00C72594"/>
    <w:rsid w:val="00C734BF"/>
    <w:rsid w:val="00C96D09"/>
    <w:rsid w:val="00CA7958"/>
    <w:rsid w:val="00CB05F2"/>
    <w:rsid w:val="00CB29FB"/>
    <w:rsid w:val="00CB2CCD"/>
    <w:rsid w:val="00CB61E1"/>
    <w:rsid w:val="00CC3AA0"/>
    <w:rsid w:val="00CE1958"/>
    <w:rsid w:val="00D128B1"/>
    <w:rsid w:val="00D2688F"/>
    <w:rsid w:val="00D3026A"/>
    <w:rsid w:val="00D31608"/>
    <w:rsid w:val="00D31EFC"/>
    <w:rsid w:val="00D346A7"/>
    <w:rsid w:val="00D40D89"/>
    <w:rsid w:val="00D47EAC"/>
    <w:rsid w:val="00D50762"/>
    <w:rsid w:val="00D635A5"/>
    <w:rsid w:val="00D7233D"/>
    <w:rsid w:val="00D7763F"/>
    <w:rsid w:val="00D84BC2"/>
    <w:rsid w:val="00D85A76"/>
    <w:rsid w:val="00D85FC2"/>
    <w:rsid w:val="00D92336"/>
    <w:rsid w:val="00D95359"/>
    <w:rsid w:val="00D97687"/>
    <w:rsid w:val="00DA3358"/>
    <w:rsid w:val="00DA4127"/>
    <w:rsid w:val="00DB4279"/>
    <w:rsid w:val="00DB6C66"/>
    <w:rsid w:val="00DC2DEC"/>
    <w:rsid w:val="00DC60F5"/>
    <w:rsid w:val="00DC67F1"/>
    <w:rsid w:val="00DD1EBF"/>
    <w:rsid w:val="00DE0B64"/>
    <w:rsid w:val="00DF3F4D"/>
    <w:rsid w:val="00E03635"/>
    <w:rsid w:val="00E03EA8"/>
    <w:rsid w:val="00E141EF"/>
    <w:rsid w:val="00E15EC2"/>
    <w:rsid w:val="00E161DA"/>
    <w:rsid w:val="00E175F8"/>
    <w:rsid w:val="00E24EF9"/>
    <w:rsid w:val="00E27A18"/>
    <w:rsid w:val="00E47884"/>
    <w:rsid w:val="00E50571"/>
    <w:rsid w:val="00E57ED2"/>
    <w:rsid w:val="00E646A1"/>
    <w:rsid w:val="00E74749"/>
    <w:rsid w:val="00EA16D0"/>
    <w:rsid w:val="00EA2EEF"/>
    <w:rsid w:val="00EA56D7"/>
    <w:rsid w:val="00EA5B1B"/>
    <w:rsid w:val="00EB2EEB"/>
    <w:rsid w:val="00EB6B8A"/>
    <w:rsid w:val="00EC7450"/>
    <w:rsid w:val="00EC7C88"/>
    <w:rsid w:val="00EC7F0D"/>
    <w:rsid w:val="00ED44E7"/>
    <w:rsid w:val="00EE35CC"/>
    <w:rsid w:val="00EE4572"/>
    <w:rsid w:val="00EE4C15"/>
    <w:rsid w:val="00EE5055"/>
    <w:rsid w:val="00EF45A5"/>
    <w:rsid w:val="00F03D12"/>
    <w:rsid w:val="00F06B96"/>
    <w:rsid w:val="00F0799F"/>
    <w:rsid w:val="00F16E59"/>
    <w:rsid w:val="00F228A9"/>
    <w:rsid w:val="00F30063"/>
    <w:rsid w:val="00F514A8"/>
    <w:rsid w:val="00F57B74"/>
    <w:rsid w:val="00F740F8"/>
    <w:rsid w:val="00F8269E"/>
    <w:rsid w:val="00F85F1B"/>
    <w:rsid w:val="00FA6799"/>
    <w:rsid w:val="00FB6E9E"/>
    <w:rsid w:val="00FC09ED"/>
    <w:rsid w:val="00FC1FFA"/>
    <w:rsid w:val="00FD39DC"/>
    <w:rsid w:val="00FE2349"/>
    <w:rsid w:val="00FE5F50"/>
    <w:rsid w:val="00FF1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3A0C1"/>
  <w15:chartTrackingRefBased/>
  <w15:docId w15:val="{4A2EE450-A245-4C5C-9BC8-20858D558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0ED"/>
    <w:pPr>
      <w:spacing w:after="0" w:line="240" w:lineRule="auto"/>
      <w:ind w:left="720"/>
      <w:contextualSpacing/>
    </w:pPr>
    <w:rPr>
      <w:rFonts w:ascii="Times New Roman" w:hAnsi="Times New Roman" w:cs="Times New Roman"/>
      <w:szCs w:val="24"/>
      <w:lang w:val="tr-TR"/>
    </w:rPr>
  </w:style>
  <w:style w:type="paragraph" w:styleId="NoSpacing">
    <w:name w:val="No Spacing"/>
    <w:uiPriority w:val="1"/>
    <w:qFormat/>
    <w:rsid w:val="000110ED"/>
    <w:pPr>
      <w:spacing w:after="0" w:line="240" w:lineRule="auto"/>
    </w:pPr>
  </w:style>
  <w:style w:type="paragraph" w:styleId="FootnoteText">
    <w:name w:val="footnote text"/>
    <w:basedOn w:val="Normal"/>
    <w:link w:val="FootnoteTextChar"/>
    <w:uiPriority w:val="99"/>
    <w:semiHidden/>
    <w:unhideWhenUsed/>
    <w:rsid w:val="008D33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33F"/>
    <w:rPr>
      <w:sz w:val="20"/>
      <w:szCs w:val="20"/>
    </w:rPr>
  </w:style>
  <w:style w:type="character" w:styleId="FootnoteReference">
    <w:name w:val="footnote reference"/>
    <w:basedOn w:val="DefaultParagraphFont"/>
    <w:uiPriority w:val="99"/>
    <w:semiHidden/>
    <w:unhideWhenUsed/>
    <w:rsid w:val="008D333F"/>
    <w:rPr>
      <w:vertAlign w:val="superscript"/>
    </w:rPr>
  </w:style>
  <w:style w:type="paragraph" w:styleId="Header">
    <w:name w:val="header"/>
    <w:basedOn w:val="Normal"/>
    <w:link w:val="HeaderChar"/>
    <w:uiPriority w:val="99"/>
    <w:unhideWhenUsed/>
    <w:rsid w:val="00855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D7A"/>
  </w:style>
  <w:style w:type="paragraph" w:styleId="Footer">
    <w:name w:val="footer"/>
    <w:basedOn w:val="Normal"/>
    <w:link w:val="FooterChar"/>
    <w:uiPriority w:val="99"/>
    <w:unhideWhenUsed/>
    <w:rsid w:val="00855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D7A"/>
  </w:style>
  <w:style w:type="table" w:styleId="TableGrid">
    <w:name w:val="Table Grid"/>
    <w:basedOn w:val="TableNormal"/>
    <w:uiPriority w:val="39"/>
    <w:rsid w:val="00C13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5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5A5"/>
    <w:rPr>
      <w:rFonts w:ascii="Segoe UI" w:hAnsi="Segoe UI" w:cs="Segoe UI"/>
      <w:sz w:val="18"/>
      <w:szCs w:val="18"/>
    </w:rPr>
  </w:style>
  <w:style w:type="character" w:styleId="Strong">
    <w:name w:val="Strong"/>
    <w:basedOn w:val="DefaultParagraphFont"/>
    <w:uiPriority w:val="22"/>
    <w:qFormat/>
    <w:rsid w:val="00EF45A5"/>
    <w:rPr>
      <w:b/>
      <w:bCs/>
    </w:rPr>
  </w:style>
  <w:style w:type="character" w:styleId="Hyperlink">
    <w:name w:val="Hyperlink"/>
    <w:basedOn w:val="DefaultParagraphFont"/>
    <w:uiPriority w:val="99"/>
    <w:unhideWhenUsed/>
    <w:rsid w:val="001B0360"/>
    <w:rPr>
      <w:color w:val="0563C1" w:themeColor="hyperlink"/>
      <w:u w:val="single"/>
    </w:rPr>
  </w:style>
  <w:style w:type="character" w:customStyle="1" w:styleId="UnresolvedMention1">
    <w:name w:val="Unresolved Mention1"/>
    <w:basedOn w:val="DefaultParagraphFont"/>
    <w:uiPriority w:val="99"/>
    <w:semiHidden/>
    <w:unhideWhenUsed/>
    <w:rsid w:val="001B0360"/>
    <w:rPr>
      <w:color w:val="808080"/>
      <w:shd w:val="clear" w:color="auto" w:fill="E6E6E6"/>
    </w:rPr>
  </w:style>
  <w:style w:type="paragraph" w:styleId="Revision">
    <w:name w:val="Revision"/>
    <w:hidden/>
    <w:uiPriority w:val="99"/>
    <w:semiHidden/>
    <w:rsid w:val="001107EE"/>
    <w:pPr>
      <w:spacing w:after="0" w:line="240" w:lineRule="auto"/>
    </w:pPr>
  </w:style>
  <w:style w:type="character" w:styleId="CommentReference">
    <w:name w:val="annotation reference"/>
    <w:basedOn w:val="DefaultParagraphFont"/>
    <w:uiPriority w:val="99"/>
    <w:semiHidden/>
    <w:unhideWhenUsed/>
    <w:rsid w:val="003F5197"/>
    <w:rPr>
      <w:sz w:val="16"/>
      <w:szCs w:val="16"/>
    </w:rPr>
  </w:style>
  <w:style w:type="paragraph" w:styleId="CommentText">
    <w:name w:val="annotation text"/>
    <w:basedOn w:val="Normal"/>
    <w:link w:val="CommentTextChar"/>
    <w:uiPriority w:val="99"/>
    <w:semiHidden/>
    <w:unhideWhenUsed/>
    <w:rsid w:val="003F5197"/>
    <w:pPr>
      <w:spacing w:line="240" w:lineRule="auto"/>
    </w:pPr>
    <w:rPr>
      <w:sz w:val="20"/>
      <w:szCs w:val="20"/>
    </w:rPr>
  </w:style>
  <w:style w:type="character" w:customStyle="1" w:styleId="CommentTextChar">
    <w:name w:val="Comment Text Char"/>
    <w:basedOn w:val="DefaultParagraphFont"/>
    <w:link w:val="CommentText"/>
    <w:uiPriority w:val="99"/>
    <w:semiHidden/>
    <w:rsid w:val="003F5197"/>
    <w:rPr>
      <w:sz w:val="20"/>
      <w:szCs w:val="20"/>
    </w:rPr>
  </w:style>
  <w:style w:type="paragraph" w:styleId="CommentSubject">
    <w:name w:val="annotation subject"/>
    <w:basedOn w:val="CommentText"/>
    <w:next w:val="CommentText"/>
    <w:link w:val="CommentSubjectChar"/>
    <w:uiPriority w:val="99"/>
    <w:semiHidden/>
    <w:unhideWhenUsed/>
    <w:rsid w:val="003F5197"/>
    <w:rPr>
      <w:b/>
      <w:bCs/>
    </w:rPr>
  </w:style>
  <w:style w:type="character" w:customStyle="1" w:styleId="CommentSubjectChar">
    <w:name w:val="Comment Subject Char"/>
    <w:basedOn w:val="CommentTextChar"/>
    <w:link w:val="CommentSubject"/>
    <w:uiPriority w:val="99"/>
    <w:semiHidden/>
    <w:rsid w:val="003F5197"/>
    <w:rPr>
      <w:b/>
      <w:bCs/>
      <w:sz w:val="20"/>
      <w:szCs w:val="20"/>
    </w:rPr>
  </w:style>
  <w:style w:type="character" w:customStyle="1" w:styleId="UnresolvedMention2">
    <w:name w:val="Unresolved Mention2"/>
    <w:basedOn w:val="DefaultParagraphFont"/>
    <w:uiPriority w:val="99"/>
    <w:semiHidden/>
    <w:unhideWhenUsed/>
    <w:rsid w:val="00C07011"/>
    <w:rPr>
      <w:color w:val="808080"/>
      <w:shd w:val="clear" w:color="auto" w:fill="E6E6E6"/>
    </w:rPr>
  </w:style>
  <w:style w:type="character" w:customStyle="1" w:styleId="UnresolvedMention">
    <w:name w:val="Unresolved Mention"/>
    <w:basedOn w:val="DefaultParagraphFont"/>
    <w:uiPriority w:val="99"/>
    <w:semiHidden/>
    <w:unhideWhenUsed/>
    <w:rsid w:val="006E2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462879">
      <w:bodyDiv w:val="1"/>
      <w:marLeft w:val="0"/>
      <w:marRight w:val="0"/>
      <w:marTop w:val="0"/>
      <w:marBottom w:val="0"/>
      <w:divBdr>
        <w:top w:val="none" w:sz="0" w:space="0" w:color="auto"/>
        <w:left w:val="none" w:sz="0" w:space="0" w:color="auto"/>
        <w:bottom w:val="none" w:sz="0" w:space="0" w:color="auto"/>
        <w:right w:val="none" w:sz="0" w:space="0" w:color="auto"/>
      </w:divBdr>
      <w:divsChild>
        <w:div w:id="834876251">
          <w:marLeft w:val="0"/>
          <w:marRight w:val="0"/>
          <w:marTop w:val="0"/>
          <w:marBottom w:val="0"/>
          <w:divBdr>
            <w:top w:val="none" w:sz="0" w:space="0" w:color="auto"/>
            <w:left w:val="none" w:sz="0" w:space="0" w:color="auto"/>
            <w:bottom w:val="none" w:sz="0" w:space="0" w:color="auto"/>
            <w:right w:val="none" w:sz="0" w:space="0" w:color="auto"/>
          </w:divBdr>
        </w:div>
        <w:div w:id="939529843">
          <w:marLeft w:val="0"/>
          <w:marRight w:val="0"/>
          <w:marTop w:val="0"/>
          <w:marBottom w:val="0"/>
          <w:divBdr>
            <w:top w:val="none" w:sz="0" w:space="0" w:color="auto"/>
            <w:left w:val="none" w:sz="0" w:space="0" w:color="auto"/>
            <w:bottom w:val="none" w:sz="0" w:space="0" w:color="auto"/>
            <w:right w:val="none" w:sz="0" w:space="0" w:color="auto"/>
          </w:divBdr>
        </w:div>
        <w:div w:id="1156452572">
          <w:marLeft w:val="0"/>
          <w:marRight w:val="0"/>
          <w:marTop w:val="0"/>
          <w:marBottom w:val="0"/>
          <w:divBdr>
            <w:top w:val="none" w:sz="0" w:space="0" w:color="auto"/>
            <w:left w:val="none" w:sz="0" w:space="0" w:color="auto"/>
            <w:bottom w:val="none" w:sz="0" w:space="0" w:color="auto"/>
            <w:right w:val="none" w:sz="0" w:space="0" w:color="auto"/>
          </w:divBdr>
        </w:div>
        <w:div w:id="2065982783">
          <w:marLeft w:val="0"/>
          <w:marRight w:val="0"/>
          <w:marTop w:val="0"/>
          <w:marBottom w:val="0"/>
          <w:divBdr>
            <w:top w:val="none" w:sz="0" w:space="0" w:color="auto"/>
            <w:left w:val="none" w:sz="0" w:space="0" w:color="auto"/>
            <w:bottom w:val="none" w:sz="0" w:space="0" w:color="auto"/>
            <w:right w:val="none" w:sz="0" w:space="0" w:color="auto"/>
          </w:divBdr>
          <w:divsChild>
            <w:div w:id="1170364310">
              <w:marLeft w:val="0"/>
              <w:marRight w:val="0"/>
              <w:marTop w:val="0"/>
              <w:marBottom w:val="0"/>
              <w:divBdr>
                <w:top w:val="none" w:sz="0" w:space="0" w:color="auto"/>
                <w:left w:val="none" w:sz="0" w:space="0" w:color="auto"/>
                <w:bottom w:val="none" w:sz="0" w:space="0" w:color="auto"/>
                <w:right w:val="none" w:sz="0" w:space="0" w:color="auto"/>
              </w:divBdr>
            </w:div>
            <w:div w:id="70467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lgy@email.arizona.edu" TargetMode="External"/><Relationship Id="rId13" Type="http://schemas.openxmlformats.org/officeDocument/2006/relationships/chart" Target="charts/chart4.xml"/><Relationship Id="rId18" Type="http://schemas.openxmlformats.org/officeDocument/2006/relationships/hyperlink" Target="https://doi.org/10.1093/isq/sqy00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ata.worldbank.org/indicator/NY.GDP.MKTP.KD"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s://www.sipri.org/databases/mil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info.worldbank.org/governance/wgi" TargetMode="External"/><Relationship Id="rId10" Type="http://schemas.openxmlformats.org/officeDocument/2006/relationships/chart" Target="charts/chart1.xml"/><Relationship Id="rId19" Type="http://schemas.openxmlformats.org/officeDocument/2006/relationships/hyperlink" Target="https://www.theguardian.com/world/2014/mar/25/barack-obama-russia-regional-power-ukraine-weaknes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hyperlink" Target="http://info.worldbank.org/governance/wg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ri.org/stories/2014-05-05/how-china-used-us-bombing-its-belgrade-embassy-win-pr-victory"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Figure 2. Major Power Status Scores, 2010, Using Diplomatic</a:t>
            </a:r>
            <a:r>
              <a:rPr lang="en-US" sz="1200" b="1" baseline="0"/>
              <a:t> Representation</a:t>
            </a:r>
            <a:r>
              <a:rPr lang="en-US" sz="1200" b="1"/>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247603817663622E-2"/>
          <c:y val="0.14899328859060401"/>
          <c:w val="0.91513711065206582"/>
          <c:h val="0.74721133012735841"/>
        </c:manualLayout>
      </c:layout>
      <c:barChart>
        <c:barDir val="col"/>
        <c:grouping val="clustered"/>
        <c:varyColors val="0"/>
        <c:ser>
          <c:idx val="0"/>
          <c:order val="0"/>
          <c:spPr>
            <a:solidFill>
              <a:schemeClr val="accent1"/>
            </a:solidFill>
            <a:ln>
              <a:noFill/>
            </a:ln>
            <a:effectLst/>
          </c:spPr>
          <c:invertIfNegative val="0"/>
          <c:cat>
            <c:strRef>
              <c:f>Sheet1!$D$3:$D$8</c:f>
              <c:strCache>
                <c:ptCount val="6"/>
                <c:pt idx="0">
                  <c:v>United States</c:v>
                </c:pt>
                <c:pt idx="1">
                  <c:v>United Kingdom</c:v>
                </c:pt>
                <c:pt idx="2">
                  <c:v>France</c:v>
                </c:pt>
                <c:pt idx="3">
                  <c:v>Japan</c:v>
                </c:pt>
                <c:pt idx="4">
                  <c:v>China</c:v>
                </c:pt>
                <c:pt idx="5">
                  <c:v>Russian Federation</c:v>
                </c:pt>
              </c:strCache>
            </c:strRef>
          </c:cat>
          <c:val>
            <c:numRef>
              <c:f>Sheet1!$F$3:$F$8</c:f>
              <c:numCache>
                <c:formatCode>General</c:formatCode>
                <c:ptCount val="6"/>
                <c:pt idx="0">
                  <c:v>184</c:v>
                </c:pt>
                <c:pt idx="1">
                  <c:v>152</c:v>
                </c:pt>
                <c:pt idx="2">
                  <c:v>147</c:v>
                </c:pt>
                <c:pt idx="3">
                  <c:v>128</c:v>
                </c:pt>
                <c:pt idx="4">
                  <c:v>158</c:v>
                </c:pt>
                <c:pt idx="5">
                  <c:v>139</c:v>
                </c:pt>
              </c:numCache>
            </c:numRef>
          </c:val>
          <c:extLst>
            <c:ext xmlns:c16="http://schemas.microsoft.com/office/drawing/2014/chart" uri="{C3380CC4-5D6E-409C-BE32-E72D297353CC}">
              <c16:uniqueId val="{00000000-1F1B-4801-AF17-E16F6AAA1956}"/>
            </c:ext>
          </c:extLst>
        </c:ser>
        <c:dLbls>
          <c:showLegendKey val="0"/>
          <c:showVal val="0"/>
          <c:showCatName val="0"/>
          <c:showSerName val="0"/>
          <c:showPercent val="0"/>
          <c:showBubbleSize val="0"/>
        </c:dLbls>
        <c:gapWidth val="219"/>
        <c:overlap val="-27"/>
        <c:axId val="636996488"/>
        <c:axId val="636997144"/>
      </c:barChart>
      <c:catAx>
        <c:axId val="636996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997144"/>
        <c:crosses val="autoZero"/>
        <c:auto val="1"/>
        <c:lblAlgn val="ctr"/>
        <c:lblOffset val="100"/>
        <c:noMultiLvlLbl val="0"/>
      </c:catAx>
      <c:valAx>
        <c:axId val="636997144"/>
        <c:scaling>
          <c:orientation val="minMax"/>
          <c:max val="210"/>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996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Figure 3. Global Status Attribution to the USSR/Russian Federation and the PRC</a:t>
            </a:r>
            <a:r>
              <a:rPr lang="en-US" sz="1200" b="1" baseline="0"/>
              <a:t> </a:t>
            </a:r>
            <a:r>
              <a:rPr lang="en-US" sz="1200" b="1"/>
              <a:t>,</a:t>
            </a:r>
            <a:r>
              <a:rPr lang="en-US" sz="1200" b="1" baseline="0"/>
              <a:t> 1989, 2010.</a:t>
            </a:r>
            <a:endParaRPr lang="en-US" sz="1200" b="1"/>
          </a:p>
        </c:rich>
      </c:tx>
      <c:layout>
        <c:manualLayout>
          <c:xMode val="edge"/>
          <c:yMode val="edge"/>
          <c:x val="0.1177222222222222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514934641421168E-2"/>
          <c:y val="0.14435185185185184"/>
          <c:w val="0.92121203034323973"/>
          <c:h val="0.69327136191309424"/>
        </c:manualLayout>
      </c:layout>
      <c:barChart>
        <c:barDir val="col"/>
        <c:grouping val="clustered"/>
        <c:varyColors val="0"/>
        <c:ser>
          <c:idx val="0"/>
          <c:order val="0"/>
          <c:tx>
            <c:strRef>
              <c:f>Sheet1!$I$19</c:f>
              <c:strCache>
                <c:ptCount val="1"/>
                <c:pt idx="0">
                  <c:v>Russian Federation</c:v>
                </c:pt>
              </c:strCache>
            </c:strRef>
          </c:tx>
          <c:spPr>
            <a:solidFill>
              <a:schemeClr val="accent1"/>
            </a:solidFill>
            <a:ln>
              <a:noFill/>
            </a:ln>
            <a:effectLst/>
          </c:spPr>
          <c:invertIfNegative val="0"/>
          <c:cat>
            <c:numRef>
              <c:f>Sheet1!$K$18:$L$18</c:f>
              <c:numCache>
                <c:formatCode>General</c:formatCode>
                <c:ptCount val="2"/>
                <c:pt idx="0">
                  <c:v>1989</c:v>
                </c:pt>
                <c:pt idx="1">
                  <c:v>2010</c:v>
                </c:pt>
              </c:numCache>
            </c:numRef>
          </c:cat>
          <c:val>
            <c:numRef>
              <c:f>Sheet1!$K$19:$L$19</c:f>
              <c:numCache>
                <c:formatCode>General</c:formatCode>
                <c:ptCount val="2"/>
                <c:pt idx="0">
                  <c:v>0.66</c:v>
                </c:pt>
                <c:pt idx="1">
                  <c:v>0.72</c:v>
                </c:pt>
              </c:numCache>
            </c:numRef>
          </c:val>
          <c:extLst>
            <c:ext xmlns:c16="http://schemas.microsoft.com/office/drawing/2014/chart" uri="{C3380CC4-5D6E-409C-BE32-E72D297353CC}">
              <c16:uniqueId val="{00000000-0043-4E59-B1D7-BABAF55780C6}"/>
            </c:ext>
          </c:extLst>
        </c:ser>
        <c:ser>
          <c:idx val="1"/>
          <c:order val="1"/>
          <c:tx>
            <c:strRef>
              <c:f>Sheet1!$I$20</c:f>
              <c:strCache>
                <c:ptCount val="1"/>
                <c:pt idx="0">
                  <c:v>China</c:v>
                </c:pt>
              </c:strCache>
            </c:strRef>
          </c:tx>
          <c:spPr>
            <a:solidFill>
              <a:schemeClr val="accent2"/>
            </a:solidFill>
            <a:ln>
              <a:noFill/>
            </a:ln>
            <a:effectLst/>
          </c:spPr>
          <c:invertIfNegative val="0"/>
          <c:val>
            <c:numRef>
              <c:f>Sheet1!$K$20:$L$20</c:f>
              <c:numCache>
                <c:formatCode>General</c:formatCode>
                <c:ptCount val="2"/>
                <c:pt idx="0">
                  <c:v>0.62</c:v>
                </c:pt>
                <c:pt idx="1">
                  <c:v>0.81</c:v>
                </c:pt>
              </c:numCache>
            </c:numRef>
          </c:val>
          <c:extLst>
            <c:ext xmlns:c16="http://schemas.microsoft.com/office/drawing/2014/chart" uri="{C3380CC4-5D6E-409C-BE32-E72D297353CC}">
              <c16:uniqueId val="{00000001-0043-4E59-B1D7-BABAF55780C6}"/>
            </c:ext>
          </c:extLst>
        </c:ser>
        <c:dLbls>
          <c:showLegendKey val="0"/>
          <c:showVal val="0"/>
          <c:showCatName val="0"/>
          <c:showSerName val="0"/>
          <c:showPercent val="0"/>
          <c:showBubbleSize val="0"/>
        </c:dLbls>
        <c:gapWidth val="75"/>
        <c:overlap val="-25"/>
        <c:axId val="1462019119"/>
        <c:axId val="1462022447"/>
      </c:barChart>
      <c:catAx>
        <c:axId val="1462019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022447"/>
        <c:crosses val="autoZero"/>
        <c:auto val="1"/>
        <c:lblAlgn val="ctr"/>
        <c:lblOffset val="100"/>
        <c:noMultiLvlLbl val="0"/>
      </c:catAx>
      <c:valAx>
        <c:axId val="1462022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019119"/>
        <c:crosses val="autoZero"/>
        <c:crossBetween val="between"/>
      </c:valAx>
      <c:spPr>
        <a:noFill/>
        <a:ln>
          <a:noFill/>
        </a:ln>
        <a:effectLst/>
      </c:spPr>
    </c:plotArea>
    <c:legend>
      <c:legendPos val="b"/>
      <c:layout>
        <c:manualLayout>
          <c:xMode val="edge"/>
          <c:yMode val="edge"/>
          <c:x val="0.36031939200237229"/>
          <c:y val="0.92187445319335082"/>
          <c:w val="0.27936104940230616"/>
          <c:h val="6.88662875473898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Figure</a:t>
            </a:r>
            <a:r>
              <a:rPr lang="en-US" sz="1200" b="1" baseline="0">
                <a:latin typeface="Times New Roman" panose="02020603050405020304" pitchFamily="18" charset="0"/>
                <a:cs typeface="Times New Roman" panose="02020603050405020304" pitchFamily="18" charset="0"/>
              </a:rPr>
              <a:t> 4. GDP in Constant (2010) Dollars for Iran, Israel, Saudi Arabia, and Turkey, 1984-2016 (Source: World Bank).</a:t>
            </a:r>
            <a:endParaRPr lang="en-US" sz="1200" b="1">
              <a:latin typeface="Times New Roman" panose="02020603050405020304" pitchFamily="18" charset="0"/>
              <a:cs typeface="Times New Roman" panose="02020603050405020304" pitchFamily="18" charset="0"/>
            </a:endParaRPr>
          </a:p>
        </c:rich>
      </c:tx>
      <c:layout>
        <c:manualLayout>
          <c:xMode val="edge"/>
          <c:yMode val="edge"/>
          <c:x val="9.6955044081028327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517464163133461E-2"/>
          <c:y val="0.13526970954356846"/>
          <c:w val="0.88197826233259302"/>
          <c:h val="0.6434508445780377"/>
        </c:manualLayout>
      </c:layout>
      <c:lineChart>
        <c:grouping val="standard"/>
        <c:varyColors val="0"/>
        <c:ser>
          <c:idx val="0"/>
          <c:order val="0"/>
          <c:tx>
            <c:strRef>
              <c:f>'World Bank GDP in Constant 2010'!$A$116</c:f>
              <c:strCache>
                <c:ptCount val="1"/>
                <c:pt idx="0">
                  <c:v>Iran, Islamic Rep.</c:v>
                </c:pt>
              </c:strCache>
            </c:strRef>
          </c:tx>
          <c:spPr>
            <a:ln w="28575" cap="rnd">
              <a:solidFill>
                <a:schemeClr val="accent1"/>
              </a:solidFill>
              <a:round/>
            </a:ln>
            <a:effectLst/>
          </c:spPr>
          <c:marker>
            <c:symbol val="none"/>
          </c:marker>
          <c:cat>
            <c:numRef>
              <c:f>'World Bank GDP in Constant 2010'!$AC$5:$BI$5</c:f>
              <c:numCache>
                <c:formatCode>General</c:formatCode>
                <c:ptCount val="3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pt idx="32">
                  <c:v>2016</c:v>
                </c:pt>
              </c:numCache>
            </c:numRef>
          </c:cat>
          <c:val>
            <c:numRef>
              <c:f>'World Bank GDP in Constant 2010'!$AC$115:$BI$115</c:f>
              <c:numCache>
                <c:formatCode>General</c:formatCode>
                <c:ptCount val="33"/>
                <c:pt idx="0">
                  <c:v>64233800480.600998</c:v>
                </c:pt>
                <c:pt idx="1">
                  <c:v>66215808301.534203</c:v>
                </c:pt>
                <c:pt idx="2">
                  <c:v>65932185717.957397</c:v>
                </c:pt>
                <c:pt idx="3">
                  <c:v>69006663593.588898</c:v>
                </c:pt>
                <c:pt idx="4">
                  <c:v>72607027112.126205</c:v>
                </c:pt>
                <c:pt idx="5">
                  <c:v>76828341209.519104</c:v>
                </c:pt>
                <c:pt idx="6">
                  <c:v>83333034191.117996</c:v>
                </c:pt>
                <c:pt idx="7">
                  <c:v>84941061364.599899</c:v>
                </c:pt>
                <c:pt idx="8">
                  <c:v>87780874006.680695</c:v>
                </c:pt>
                <c:pt idx="9">
                  <c:v>90144469836.6996</c:v>
                </c:pt>
                <c:pt idx="10">
                  <c:v>95333029656.450302</c:v>
                </c:pt>
                <c:pt idx="11">
                  <c:v>104517816312.826</c:v>
                </c:pt>
                <c:pt idx="12">
                  <c:v>112679903992.187</c:v>
                </c:pt>
                <c:pt idx="13">
                  <c:v>124274612329.655</c:v>
                </c:pt>
                <c:pt idx="14">
                  <c:v>134838197688.355</c:v>
                </c:pt>
                <c:pt idx="15">
                  <c:v>149155234007.20099</c:v>
                </c:pt>
                <c:pt idx="16">
                  <c:v>163414173785.061</c:v>
                </c:pt>
                <c:pt idx="17">
                  <c:v>172898090578.53</c:v>
                </c:pt>
                <c:pt idx="18">
                  <c:v>183806690892.052</c:v>
                </c:pt>
                <c:pt idx="19">
                  <c:v>189540567913.004</c:v>
                </c:pt>
                <c:pt idx="20">
                  <c:v>202204186383.40302</c:v>
                </c:pt>
                <c:pt idx="21">
                  <c:v>214349282613.54501</c:v>
                </c:pt>
                <c:pt idx="22">
                  <c:v>226184906011.13101</c:v>
                </c:pt>
                <c:pt idx="23">
                  <c:v>237966361640.43799</c:v>
                </c:pt>
                <c:pt idx="24">
                  <c:v>228600166447.207</c:v>
                </c:pt>
                <c:pt idx="25">
                  <c:v>218023321215.73599</c:v>
                </c:pt>
                <c:pt idx="26">
                  <c:v>221951354761.53201</c:v>
                </c:pt>
                <c:pt idx="27">
                  <c:v>228576397928.58801</c:v>
                </c:pt>
                <c:pt idx="28">
                  <c:v>228661324925.09399</c:v>
                </c:pt>
                <c:pt idx="29">
                  <c:v>232408729622.71301</c:v>
                </c:pt>
                <c:pt idx="30">
                  <c:v>251764610171.92401</c:v>
                </c:pt>
                <c:pt idx="31">
                  <c:v>316108768452.78699</c:v>
                </c:pt>
                <c:pt idx="32">
                  <c:v>332361374827.62598</c:v>
                </c:pt>
              </c:numCache>
            </c:numRef>
          </c:val>
          <c:smooth val="0"/>
          <c:extLst>
            <c:ext xmlns:c16="http://schemas.microsoft.com/office/drawing/2014/chart" uri="{C3380CC4-5D6E-409C-BE32-E72D297353CC}">
              <c16:uniqueId val="{00000000-4895-44E4-93F0-1F118422E594}"/>
            </c:ext>
          </c:extLst>
        </c:ser>
        <c:ser>
          <c:idx val="1"/>
          <c:order val="1"/>
          <c:tx>
            <c:strRef>
              <c:f>'World Bank GDP in Constant 2010'!$A$209</c:f>
              <c:strCache>
                <c:ptCount val="1"/>
                <c:pt idx="0">
                  <c:v>Saudi Arabia</c:v>
                </c:pt>
              </c:strCache>
            </c:strRef>
          </c:tx>
          <c:spPr>
            <a:ln w="28575" cap="rnd">
              <a:solidFill>
                <a:schemeClr val="accent2"/>
              </a:solidFill>
              <a:round/>
            </a:ln>
            <a:effectLst/>
          </c:spPr>
          <c:marker>
            <c:symbol val="none"/>
          </c:marker>
          <c:val>
            <c:numRef>
              <c:f>'World Bank GDP in Constant 2010'!$AC$209:$BI$209</c:f>
              <c:numCache>
                <c:formatCode>General</c:formatCode>
                <c:ptCount val="33"/>
                <c:pt idx="0">
                  <c:v>230060546080</c:v>
                </c:pt>
                <c:pt idx="1">
                  <c:v>207527260666.66699</c:v>
                </c:pt>
                <c:pt idx="2">
                  <c:v>242833346960</c:v>
                </c:pt>
                <c:pt idx="3">
                  <c:v>226727434880</c:v>
                </c:pt>
                <c:pt idx="4">
                  <c:v>256449843840</c:v>
                </c:pt>
                <c:pt idx="5">
                  <c:v>255159860400</c:v>
                </c:pt>
                <c:pt idx="6">
                  <c:v>293927384693.33398</c:v>
                </c:pt>
                <c:pt idx="7">
                  <c:v>338039654613.33398</c:v>
                </c:pt>
                <c:pt idx="8">
                  <c:v>351519121626.66699</c:v>
                </c:pt>
                <c:pt idx="9">
                  <c:v>346725309733.33398</c:v>
                </c:pt>
                <c:pt idx="10">
                  <c:v>348662534026.66699</c:v>
                </c:pt>
                <c:pt idx="11">
                  <c:v>349402017093.33398</c:v>
                </c:pt>
                <c:pt idx="12">
                  <c:v>358617230506.66699</c:v>
                </c:pt>
                <c:pt idx="13">
                  <c:v>362575583120</c:v>
                </c:pt>
                <c:pt idx="14">
                  <c:v>373066209146.66699</c:v>
                </c:pt>
                <c:pt idx="15">
                  <c:v>359026663653.33398</c:v>
                </c:pt>
                <c:pt idx="16">
                  <c:v>379223407546.66699</c:v>
                </c:pt>
                <c:pt idx="17">
                  <c:v>374631983413.33398</c:v>
                </c:pt>
                <c:pt idx="18">
                  <c:v>364070454426.66699</c:v>
                </c:pt>
                <c:pt idx="19">
                  <c:v>404999478400</c:v>
                </c:pt>
                <c:pt idx="20">
                  <c:v>437231125626.66699</c:v>
                </c:pt>
                <c:pt idx="21">
                  <c:v>461601733253.33301</c:v>
                </c:pt>
                <c:pt idx="22">
                  <c:v>474473046266.66699</c:v>
                </c:pt>
                <c:pt idx="23">
                  <c:v>483237181440</c:v>
                </c:pt>
                <c:pt idx="24">
                  <c:v>513438407146.66699</c:v>
                </c:pt>
                <c:pt idx="25">
                  <c:v>502865333333.33301</c:v>
                </c:pt>
                <c:pt idx="26">
                  <c:v>528207200000</c:v>
                </c:pt>
                <c:pt idx="27">
                  <c:v>581011322640</c:v>
                </c:pt>
                <c:pt idx="28">
                  <c:v>612452430240</c:v>
                </c:pt>
                <c:pt idx="29">
                  <c:v>628984081386.66699</c:v>
                </c:pt>
                <c:pt idx="30">
                  <c:v>651957609840</c:v>
                </c:pt>
                <c:pt idx="31">
                  <c:v>678729654960</c:v>
                </c:pt>
                <c:pt idx="32">
                  <c:v>690549935520</c:v>
                </c:pt>
              </c:numCache>
            </c:numRef>
          </c:val>
          <c:smooth val="0"/>
          <c:extLst>
            <c:ext xmlns:c16="http://schemas.microsoft.com/office/drawing/2014/chart" uri="{C3380CC4-5D6E-409C-BE32-E72D297353CC}">
              <c16:uniqueId val="{00000001-4895-44E4-93F0-1F118422E594}"/>
            </c:ext>
          </c:extLst>
        </c:ser>
        <c:ser>
          <c:idx val="2"/>
          <c:order val="2"/>
          <c:tx>
            <c:strRef>
              <c:f>'World Bank GDP in Constant 2010'!$A$119</c:f>
              <c:strCache>
                <c:ptCount val="1"/>
                <c:pt idx="0">
                  <c:v>Israel</c:v>
                </c:pt>
              </c:strCache>
            </c:strRef>
          </c:tx>
          <c:spPr>
            <a:ln w="28575" cap="rnd">
              <a:solidFill>
                <a:schemeClr val="accent3"/>
              </a:solidFill>
              <a:round/>
            </a:ln>
            <a:effectLst/>
          </c:spPr>
          <c:marker>
            <c:symbol val="none"/>
          </c:marker>
          <c:val>
            <c:numRef>
              <c:f>'World Bank GDP in Constant 2010'!$AC$119:$BI$119</c:f>
              <c:numCache>
                <c:formatCode>General</c:formatCode>
                <c:ptCount val="33"/>
                <c:pt idx="0">
                  <c:v>76373910709.606293</c:v>
                </c:pt>
                <c:pt idx="1">
                  <c:v>79457079905.436996</c:v>
                </c:pt>
                <c:pt idx="2">
                  <c:v>82786446445.861496</c:v>
                </c:pt>
                <c:pt idx="3">
                  <c:v>88697159747.241196</c:v>
                </c:pt>
                <c:pt idx="4">
                  <c:v>91278261490.810699</c:v>
                </c:pt>
                <c:pt idx="5">
                  <c:v>91802880396.265594</c:v>
                </c:pt>
                <c:pt idx="6">
                  <c:v>98518443958.371506</c:v>
                </c:pt>
                <c:pt idx="7">
                  <c:v>106130092379.94501</c:v>
                </c:pt>
                <c:pt idx="8">
                  <c:v>114365008669.267</c:v>
                </c:pt>
                <c:pt idx="9">
                  <c:v>119073137474.258</c:v>
                </c:pt>
                <c:pt idx="10">
                  <c:v>127917705874.151</c:v>
                </c:pt>
                <c:pt idx="11">
                  <c:v>136364015833.11</c:v>
                </c:pt>
                <c:pt idx="12">
                  <c:v>143610926263.707</c:v>
                </c:pt>
                <c:pt idx="13">
                  <c:v>148869086921.63699</c:v>
                </c:pt>
                <c:pt idx="14">
                  <c:v>155071848515.646</c:v>
                </c:pt>
                <c:pt idx="15">
                  <c:v>160678996710.35001</c:v>
                </c:pt>
                <c:pt idx="16">
                  <c:v>173804947124.89999</c:v>
                </c:pt>
                <c:pt idx="17">
                  <c:v>173848911634.12701</c:v>
                </c:pt>
                <c:pt idx="18">
                  <c:v>174130250815.72601</c:v>
                </c:pt>
                <c:pt idx="19">
                  <c:v>175466815619.14999</c:v>
                </c:pt>
                <c:pt idx="20">
                  <c:v>183485149612.19601</c:v>
                </c:pt>
                <c:pt idx="21">
                  <c:v>191069409868.94901</c:v>
                </c:pt>
                <c:pt idx="22">
                  <c:v>201025695292.85901</c:v>
                </c:pt>
                <c:pt idx="23">
                  <c:v>212632020994.918</c:v>
                </c:pt>
                <c:pt idx="24">
                  <c:v>218986306632.79001</c:v>
                </c:pt>
                <c:pt idx="25">
                  <c:v>222011837015.245</c:v>
                </c:pt>
                <c:pt idx="26">
                  <c:v>233609522091.46799</c:v>
                </c:pt>
                <c:pt idx="27">
                  <c:v>244490659320.67401</c:v>
                </c:pt>
                <c:pt idx="28">
                  <c:v>249239909173.57599</c:v>
                </c:pt>
                <c:pt idx="29">
                  <c:v>259486548676.117</c:v>
                </c:pt>
                <c:pt idx="30">
                  <c:v>268335394223.05399</c:v>
                </c:pt>
                <c:pt idx="31">
                  <c:v>276487272960.685</c:v>
                </c:pt>
                <c:pt idx="32">
                  <c:v>287807589783.36499</c:v>
                </c:pt>
              </c:numCache>
            </c:numRef>
          </c:val>
          <c:smooth val="0"/>
          <c:extLst>
            <c:ext xmlns:c16="http://schemas.microsoft.com/office/drawing/2014/chart" uri="{C3380CC4-5D6E-409C-BE32-E72D297353CC}">
              <c16:uniqueId val="{00000002-4895-44E4-93F0-1F118422E594}"/>
            </c:ext>
          </c:extLst>
        </c:ser>
        <c:ser>
          <c:idx val="3"/>
          <c:order val="3"/>
          <c:tx>
            <c:strRef>
              <c:f>'World Bank GDP in Constant 2010'!$A$248</c:f>
              <c:strCache>
                <c:ptCount val="1"/>
                <c:pt idx="0">
                  <c:v>Turkey</c:v>
                </c:pt>
              </c:strCache>
            </c:strRef>
          </c:tx>
          <c:spPr>
            <a:ln w="28575" cap="rnd">
              <a:solidFill>
                <a:schemeClr val="accent4"/>
              </a:solidFill>
              <a:round/>
            </a:ln>
            <a:effectLst/>
          </c:spPr>
          <c:marker>
            <c:symbol val="none"/>
          </c:marker>
          <c:val>
            <c:numRef>
              <c:f>'World Bank GDP in Constant 2010'!$AC$248:$BI$248</c:f>
              <c:numCache>
                <c:formatCode>General</c:formatCode>
                <c:ptCount val="33"/>
                <c:pt idx="0">
                  <c:v>266745761417.98901</c:v>
                </c:pt>
                <c:pt idx="1">
                  <c:v>278059344668.992</c:v>
                </c:pt>
                <c:pt idx="2">
                  <c:v>297556952422.95599</c:v>
                </c:pt>
                <c:pt idx="3">
                  <c:v>325781832723.49799</c:v>
                </c:pt>
                <c:pt idx="4">
                  <c:v>333342371583.51099</c:v>
                </c:pt>
                <c:pt idx="5">
                  <c:v>334309878045.76202</c:v>
                </c:pt>
                <c:pt idx="6">
                  <c:v>365287521682.77197</c:v>
                </c:pt>
                <c:pt idx="7">
                  <c:v>367918611121.15302</c:v>
                </c:pt>
                <c:pt idx="8">
                  <c:v>386445649249.73499</c:v>
                </c:pt>
                <c:pt idx="9">
                  <c:v>416013630739.34601</c:v>
                </c:pt>
                <c:pt idx="10">
                  <c:v>396593501402.32098</c:v>
                </c:pt>
                <c:pt idx="11">
                  <c:v>427838195856.422</c:v>
                </c:pt>
                <c:pt idx="12">
                  <c:v>459411219201.20099</c:v>
                </c:pt>
                <c:pt idx="13">
                  <c:v>494223856135.41699</c:v>
                </c:pt>
                <c:pt idx="14">
                  <c:v>505631597865.20203</c:v>
                </c:pt>
                <c:pt idx="15">
                  <c:v>488494200597.48901</c:v>
                </c:pt>
                <c:pt idx="16">
                  <c:v>520930514784.59698</c:v>
                </c:pt>
                <c:pt idx="17">
                  <c:v>489871019011.06403</c:v>
                </c:pt>
                <c:pt idx="18">
                  <c:v>521371090325.31702</c:v>
                </c:pt>
                <c:pt idx="19">
                  <c:v>550610910686.86902</c:v>
                </c:pt>
                <c:pt idx="20">
                  <c:v>603713603533.74304</c:v>
                </c:pt>
                <c:pt idx="21">
                  <c:v>658107313044.26599</c:v>
                </c:pt>
                <c:pt idx="22">
                  <c:v>704896790931.83105</c:v>
                </c:pt>
                <c:pt idx="23">
                  <c:v>740356326363.23901</c:v>
                </c:pt>
                <c:pt idx="24">
                  <c:v>746614198884.09802</c:v>
                </c:pt>
                <c:pt idx="25">
                  <c:v>711489987887.91797</c:v>
                </c:pt>
                <c:pt idx="26">
                  <c:v>771876791231.83801</c:v>
                </c:pt>
                <c:pt idx="27">
                  <c:v>857659284060.28003</c:v>
                </c:pt>
                <c:pt idx="28">
                  <c:v>898740650946.84705</c:v>
                </c:pt>
                <c:pt idx="29">
                  <c:v>975055500256.58704</c:v>
                </c:pt>
                <c:pt idx="30">
                  <c:v>1025433602137.88</c:v>
                </c:pt>
                <c:pt idx="31">
                  <c:v>1087840328650.29</c:v>
                </c:pt>
                <c:pt idx="32">
                  <c:v>1122475332172.05</c:v>
                </c:pt>
              </c:numCache>
            </c:numRef>
          </c:val>
          <c:smooth val="0"/>
          <c:extLst>
            <c:ext xmlns:c16="http://schemas.microsoft.com/office/drawing/2014/chart" uri="{C3380CC4-5D6E-409C-BE32-E72D297353CC}">
              <c16:uniqueId val="{00000003-4895-44E4-93F0-1F118422E594}"/>
            </c:ext>
          </c:extLst>
        </c:ser>
        <c:dLbls>
          <c:showLegendKey val="0"/>
          <c:showVal val="0"/>
          <c:showCatName val="0"/>
          <c:showSerName val="0"/>
          <c:showPercent val="0"/>
          <c:showBubbleSize val="0"/>
        </c:dLbls>
        <c:smooth val="0"/>
        <c:axId val="974166160"/>
        <c:axId val="974167408"/>
      </c:lineChart>
      <c:catAx>
        <c:axId val="97416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167408"/>
        <c:crosses val="autoZero"/>
        <c:auto val="1"/>
        <c:lblAlgn val="ctr"/>
        <c:lblOffset val="100"/>
        <c:noMultiLvlLbl val="0"/>
      </c:catAx>
      <c:valAx>
        <c:axId val="97416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16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Figure 5. Saudi Arabian,</a:t>
            </a:r>
            <a:r>
              <a:rPr lang="en-US" sz="1200" b="1" baseline="0">
                <a:latin typeface="Times New Roman" panose="02020603050405020304" pitchFamily="18" charset="0"/>
                <a:cs typeface="Times New Roman" panose="02020603050405020304" pitchFamily="18" charset="0"/>
              </a:rPr>
              <a:t> Israeli, Turkish,and Iranian Military Expenditures Compared in Constant US Dollars, 1984-2015 (Source: SIPRI).</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160683760683760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446867218520762E-2"/>
          <c:y val="0.13689334710134235"/>
          <c:w val="0.89604885927720579"/>
          <c:h val="0.67760918841089346"/>
        </c:manualLayout>
      </c:layout>
      <c:lineChart>
        <c:grouping val="standard"/>
        <c:varyColors val="0"/>
        <c:ser>
          <c:idx val="0"/>
          <c:order val="0"/>
          <c:tx>
            <c:strRef>
              <c:f>Sheet1!$C$160</c:f>
              <c:strCache>
                <c:ptCount val="1"/>
                <c:pt idx="0">
                  <c:v>Iran, Islamic Republic of</c:v>
                </c:pt>
              </c:strCache>
            </c:strRef>
          </c:tx>
          <c:spPr>
            <a:ln w="28575" cap="rnd">
              <a:solidFill>
                <a:schemeClr val="accent1"/>
              </a:solidFill>
              <a:round/>
            </a:ln>
            <a:effectLst/>
          </c:spPr>
          <c:marker>
            <c:symbol val="none"/>
          </c:marker>
          <c:cat>
            <c:numRef>
              <c:f>Sheet1!$O$4:$BR$4</c:f>
              <c:numCache>
                <c:formatCode>General</c:formatCode>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numCache>
            </c:numRef>
          </c:cat>
          <c:val>
            <c:numRef>
              <c:f>Sheet1!$O$160:$BR$160</c:f>
              <c:numCache>
                <c:formatCode>0</c:formatCode>
                <c:ptCount val="32"/>
                <c:pt idx="0">
                  <c:v>7963.6615313814582</c:v>
                </c:pt>
                <c:pt idx="1">
                  <c:v>8321.7405066905685</c:v>
                </c:pt>
                <c:pt idx="2">
                  <c:v>6665.7850413499964</c:v>
                </c:pt>
                <c:pt idx="3">
                  <c:v>6114.9863740563469</c:v>
                </c:pt>
                <c:pt idx="4">
                  <c:v>5652.7660020190478</c:v>
                </c:pt>
                <c:pt idx="5">
                  <c:v>4180.7852600990573</c:v>
                </c:pt>
                <c:pt idx="6">
                  <c:v>3711.983421854432</c:v>
                </c:pt>
                <c:pt idx="7">
                  <c:v>3346.7171523899019</c:v>
                </c:pt>
                <c:pt idx="8">
                  <c:v>2904.5241250825525</c:v>
                </c:pt>
                <c:pt idx="9">
                  <c:v>3401.3899545679496</c:v>
                </c:pt>
                <c:pt idx="10">
                  <c:v>4197.8619765746062</c:v>
                </c:pt>
                <c:pt idx="11">
                  <c:v>4117.9411814255145</c:v>
                </c:pt>
                <c:pt idx="12">
                  <c:v>4540.9666373661394</c:v>
                </c:pt>
                <c:pt idx="13">
                  <c:v>5065.1720128594607</c:v>
                </c:pt>
                <c:pt idx="14">
                  <c:v>5069.099224429443</c:v>
                </c:pt>
                <c:pt idx="15">
                  <c:v>5127.0696196514182</c:v>
                </c:pt>
                <c:pt idx="16">
                  <c:v>5644.7291556288719</c:v>
                </c:pt>
                <c:pt idx="17">
                  <c:v>6283.7772014928751</c:v>
                </c:pt>
                <c:pt idx="18">
                  <c:v>6763.7745400110689</c:v>
                </c:pt>
                <c:pt idx="19">
                  <c:v>7894.28864943811</c:v>
                </c:pt>
                <c:pt idx="20">
                  <c:v>10201.441516415238</c:v>
                </c:pt>
                <c:pt idx="21">
                  <c:v>12130.737816917326</c:v>
                </c:pt>
                <c:pt idx="22">
                  <c:v>14275.716269504936</c:v>
                </c:pt>
                <c:pt idx="23">
                  <c:v>13141.711600304352</c:v>
                </c:pt>
                <c:pt idx="24">
                  <c:v>12629.04638168686</c:v>
                </c:pt>
                <c:pt idx="25">
                  <c:v>13219.660318396825</c:v>
                </c:pt>
                <c:pt idx="26">
                  <c:v>13445.66523189761</c:v>
                </c:pt>
                <c:pt idx="27">
                  <c:v>12149.554264342149</c:v>
                </c:pt>
                <c:pt idx="28">
                  <c:v>12639.15598240442</c:v>
                </c:pt>
                <c:pt idx="29">
                  <c:v>9983.8526578173896</c:v>
                </c:pt>
                <c:pt idx="30">
                  <c:v>9901.1051704398706</c:v>
                </c:pt>
                <c:pt idx="31">
                  <c:v>9968.9886625396412</c:v>
                </c:pt>
              </c:numCache>
            </c:numRef>
          </c:val>
          <c:smooth val="0"/>
          <c:extLst>
            <c:ext xmlns:c16="http://schemas.microsoft.com/office/drawing/2014/chart" uri="{C3380CC4-5D6E-409C-BE32-E72D297353CC}">
              <c16:uniqueId val="{00000000-D9A0-4FAD-A3F4-39A31819E4BB}"/>
            </c:ext>
          </c:extLst>
        </c:ser>
        <c:ser>
          <c:idx val="1"/>
          <c:order val="1"/>
          <c:tx>
            <c:strRef>
              <c:f>Sheet1!$C$168</c:f>
              <c:strCache>
                <c:ptCount val="1"/>
                <c:pt idx="0">
                  <c:v>Saudi Arabia</c:v>
                </c:pt>
              </c:strCache>
            </c:strRef>
          </c:tx>
          <c:spPr>
            <a:ln w="28575" cap="rnd">
              <a:solidFill>
                <a:schemeClr val="accent2"/>
              </a:solidFill>
              <a:round/>
            </a:ln>
            <a:effectLst/>
          </c:spPr>
          <c:marker>
            <c:symbol val="none"/>
          </c:marker>
          <c:cat>
            <c:strLit>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extLst>
                <c:ext xmlns:c15="http://schemas.microsoft.com/office/drawing/2012/chart" uri="{02D57815-91ED-43cb-92C2-25804820EDAC}">
                  <c15:autoCat val="1"/>
                </c:ext>
              </c:extLst>
            </c:strLit>
          </c:cat>
          <c:val>
            <c:numRef>
              <c:f>Sheet1!$O$168:$BR$168</c:f>
              <c:numCache>
                <c:formatCode>0</c:formatCode>
                <c:ptCount val="32"/>
                <c:pt idx="0">
                  <c:v>33972.506634830926</c:v>
                </c:pt>
                <c:pt idx="1">
                  <c:v>28054.120435280493</c:v>
                </c:pt>
                <c:pt idx="2">
                  <c:v>26507</c:v>
                </c:pt>
                <c:pt idx="3">
                  <c:v>24959.395150091044</c:v>
                </c:pt>
                <c:pt idx="4">
                  <c:v>22843.751612308828</c:v>
                </c:pt>
                <c:pt idx="5">
                  <c:v>21586.296115182377</c:v>
                </c:pt>
                <c:pt idx="6">
                  <c:v>27127.337235024999</c:v>
                </c:pt>
                <c:pt idx="7">
                  <c:v>25869.769946147186</c:v>
                </c:pt>
                <c:pt idx="8">
                  <c:v>24314.362593491758</c:v>
                </c:pt>
                <c:pt idx="9">
                  <c:v>25769.165925808746</c:v>
                </c:pt>
                <c:pt idx="10">
                  <c:v>22242.262724733006</c:v>
                </c:pt>
                <c:pt idx="11">
                  <c:v>19606.356080000001</c:v>
                </c:pt>
                <c:pt idx="12">
                  <c:v>19574.699176068443</c:v>
                </c:pt>
                <c:pt idx="13">
                  <c:v>26583.272116903634</c:v>
                </c:pt>
                <c:pt idx="14">
                  <c:v>30703.872926534415</c:v>
                </c:pt>
                <c:pt idx="15">
                  <c:v>27331.473782645513</c:v>
                </c:pt>
                <c:pt idx="16">
                  <c:v>30123.423024215219</c:v>
                </c:pt>
                <c:pt idx="17">
                  <c:v>32083.395912798984</c:v>
                </c:pt>
                <c:pt idx="18">
                  <c:v>28166.132735589632</c:v>
                </c:pt>
                <c:pt idx="19">
                  <c:v>28373.530141818679</c:v>
                </c:pt>
                <c:pt idx="20">
                  <c:v>31543.065581046259</c:v>
                </c:pt>
                <c:pt idx="21">
                  <c:v>38007.8865898281</c:v>
                </c:pt>
                <c:pt idx="22">
                  <c:v>43297.164318136965</c:v>
                </c:pt>
                <c:pt idx="23">
                  <c:v>49872.34950978071</c:v>
                </c:pt>
                <c:pt idx="24">
                  <c:v>48949.0036298423</c:v>
                </c:pt>
                <c:pt idx="25">
                  <c:v>50299.257469698583</c:v>
                </c:pt>
                <c:pt idx="26">
                  <c:v>52350.008070421434</c:v>
                </c:pt>
                <c:pt idx="27">
                  <c:v>53062.287649249884</c:v>
                </c:pt>
                <c:pt idx="28">
                  <c:v>60040.554469613504</c:v>
                </c:pt>
                <c:pt idx="29">
                  <c:v>68809.615185218456</c:v>
                </c:pt>
                <c:pt idx="30">
                  <c:v>80762.399999999994</c:v>
                </c:pt>
                <c:pt idx="31">
                  <c:v>85354.42156119617</c:v>
                </c:pt>
              </c:numCache>
            </c:numRef>
          </c:val>
          <c:smooth val="0"/>
          <c:extLst>
            <c:ext xmlns:c16="http://schemas.microsoft.com/office/drawing/2014/chart" uri="{C3380CC4-5D6E-409C-BE32-E72D297353CC}">
              <c16:uniqueId val="{00000001-D9A0-4FAD-A3F4-39A31819E4BB}"/>
            </c:ext>
          </c:extLst>
        </c:ser>
        <c:ser>
          <c:idx val="2"/>
          <c:order val="2"/>
          <c:tx>
            <c:strRef>
              <c:f>Sheet1!$C$162</c:f>
              <c:strCache>
                <c:ptCount val="1"/>
                <c:pt idx="0">
                  <c:v>Israel</c:v>
                </c:pt>
              </c:strCache>
            </c:strRef>
          </c:tx>
          <c:spPr>
            <a:ln w="28575" cap="rnd">
              <a:solidFill>
                <a:schemeClr val="accent3"/>
              </a:solidFill>
              <a:round/>
            </a:ln>
            <a:effectLst/>
          </c:spPr>
          <c:marker>
            <c:symbol val="none"/>
          </c:marker>
          <c:cat>
            <c:strLit>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extLst>
                <c:ext xmlns:c15="http://schemas.microsoft.com/office/drawing/2012/chart" uri="{02D57815-91ED-43cb-92C2-25804820EDAC}">
                  <c15:autoCat val="1"/>
                </c:ext>
              </c:extLst>
            </c:strLit>
          </c:cat>
          <c:val>
            <c:numRef>
              <c:f>Sheet1!$O$162:$BR$162</c:f>
              <c:numCache>
                <c:formatCode>0</c:formatCode>
                <c:ptCount val="32"/>
                <c:pt idx="0">
                  <c:v>13407.060350765229</c:v>
                </c:pt>
                <c:pt idx="1">
                  <c:v>12659.822563974707</c:v>
                </c:pt>
                <c:pt idx="2">
                  <c:v>11812.726376687791</c:v>
                </c:pt>
                <c:pt idx="3">
                  <c:v>14439.348632167319</c:v>
                </c:pt>
                <c:pt idx="4">
                  <c:v>15580.547890628988</c:v>
                </c:pt>
                <c:pt idx="5">
                  <c:v>12556.532191700166</c:v>
                </c:pt>
                <c:pt idx="6">
                  <c:v>13450.629845051768</c:v>
                </c:pt>
                <c:pt idx="7">
                  <c:v>18478.662856698149</c:v>
                </c:pt>
                <c:pt idx="8">
                  <c:v>13961.636876246119</c:v>
                </c:pt>
                <c:pt idx="9">
                  <c:v>15438.266894972146</c:v>
                </c:pt>
                <c:pt idx="10">
                  <c:v>14506.549728756154</c:v>
                </c:pt>
                <c:pt idx="11">
                  <c:v>13459.793036522877</c:v>
                </c:pt>
                <c:pt idx="12">
                  <c:v>13785.211869113333</c:v>
                </c:pt>
                <c:pt idx="13">
                  <c:v>13834.351229460566</c:v>
                </c:pt>
                <c:pt idx="14">
                  <c:v>13651.237566334014</c:v>
                </c:pt>
                <c:pt idx="15">
                  <c:v>13366.526537296593</c:v>
                </c:pt>
                <c:pt idx="16">
                  <c:v>14167.776837417525</c:v>
                </c:pt>
                <c:pt idx="17">
                  <c:v>14704.190741191909</c:v>
                </c:pt>
                <c:pt idx="18">
                  <c:v>16444.823457521725</c:v>
                </c:pt>
                <c:pt idx="19">
                  <c:v>16839.044029812281</c:v>
                </c:pt>
                <c:pt idx="20">
                  <c:v>17102.881951992687</c:v>
                </c:pt>
                <c:pt idx="21">
                  <c:v>16589.327671407187</c:v>
                </c:pt>
                <c:pt idx="22">
                  <c:v>17063.327452434245</c:v>
                </c:pt>
                <c:pt idx="23">
                  <c:v>16407.048007632355</c:v>
                </c:pt>
                <c:pt idx="24">
                  <c:v>16099.096950693258</c:v>
                </c:pt>
                <c:pt idx="25">
                  <c:v>16935.966311118638</c:v>
                </c:pt>
                <c:pt idx="26">
                  <c:v>16331.607360459981</c:v>
                </c:pt>
                <c:pt idx="27">
                  <c:v>15950.048922740458</c:v>
                </c:pt>
                <c:pt idx="28">
                  <c:v>16206.480435439733</c:v>
                </c:pt>
                <c:pt idx="29">
                  <c:v>17109.680637624017</c:v>
                </c:pt>
                <c:pt idx="30">
                  <c:v>18106.071651434577</c:v>
                </c:pt>
                <c:pt idx="31">
                  <c:v>17511.909573563291</c:v>
                </c:pt>
              </c:numCache>
            </c:numRef>
          </c:val>
          <c:smooth val="0"/>
          <c:extLst>
            <c:ext xmlns:c16="http://schemas.microsoft.com/office/drawing/2014/chart" uri="{C3380CC4-5D6E-409C-BE32-E72D297353CC}">
              <c16:uniqueId val="{00000002-D9A0-4FAD-A3F4-39A31819E4BB}"/>
            </c:ext>
          </c:extLst>
        </c:ser>
        <c:ser>
          <c:idx val="3"/>
          <c:order val="3"/>
          <c:tx>
            <c:strRef>
              <c:f>Sheet1!$C$170</c:f>
              <c:strCache>
                <c:ptCount val="1"/>
                <c:pt idx="0">
                  <c:v>Turkey</c:v>
                </c:pt>
              </c:strCache>
            </c:strRef>
          </c:tx>
          <c:spPr>
            <a:ln w="28575" cap="rnd">
              <a:solidFill>
                <a:schemeClr val="accent4"/>
              </a:solidFill>
              <a:round/>
            </a:ln>
            <a:effectLst/>
          </c:spPr>
          <c:marker>
            <c:symbol val="none"/>
          </c:marker>
          <c:cat>
            <c:strLit>
              <c:ptCount val="32"/>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pt idx="28">
                <c:v>2012</c:v>
              </c:pt>
              <c:pt idx="29">
                <c:v>2013</c:v>
              </c:pt>
              <c:pt idx="30">
                <c:v>2014</c:v>
              </c:pt>
              <c:pt idx="31">
                <c:v>2015</c:v>
              </c:pt>
              <c:extLst>
                <c:ext xmlns:c15="http://schemas.microsoft.com/office/drawing/2012/chart" uri="{02D57815-91ED-43cb-92C2-25804820EDAC}">
                  <c15:autoCat val="1"/>
                </c:ext>
              </c:extLst>
            </c:strLit>
          </c:cat>
          <c:val>
            <c:numRef>
              <c:f>Sheet1!$O$170:$BR$170</c:f>
              <c:numCache>
                <c:formatCode>0</c:formatCode>
                <c:ptCount val="32"/>
                <c:pt idx="0">
                  <c:v>9137.8108386589411</c:v>
                </c:pt>
                <c:pt idx="1">
                  <c:v>9694.4113224942084</c:v>
                </c:pt>
                <c:pt idx="2">
                  <c:v>10892.398062750473</c:v>
                </c:pt>
                <c:pt idx="3">
                  <c:v>10402.563647883568</c:v>
                </c:pt>
                <c:pt idx="4">
                  <c:v>9162.6382484883725</c:v>
                </c:pt>
                <c:pt idx="5">
                  <c:v>10601.671341155732</c:v>
                </c:pt>
                <c:pt idx="6">
                  <c:v>12810.50147355308</c:v>
                </c:pt>
                <c:pt idx="7">
                  <c:v>13168.81528824624</c:v>
                </c:pt>
                <c:pt idx="8">
                  <c:v>13851.534656807633</c:v>
                </c:pt>
                <c:pt idx="9">
                  <c:v>15314.591664800269</c:v>
                </c:pt>
                <c:pt idx="10">
                  <c:v>14972.873608837615</c:v>
                </c:pt>
                <c:pt idx="11">
                  <c:v>15381.916404543666</c:v>
                </c:pt>
                <c:pt idx="12">
                  <c:v>17221.272786658516</c:v>
                </c:pt>
                <c:pt idx="13">
                  <c:v>17941.986839739566</c:v>
                </c:pt>
                <c:pt idx="14">
                  <c:v>18800.227195746167</c:v>
                </c:pt>
                <c:pt idx="15">
                  <c:v>20758.171199171193</c:v>
                </c:pt>
                <c:pt idx="16">
                  <c:v>20089.284000031566</c:v>
                </c:pt>
                <c:pt idx="17">
                  <c:v>18416.32288088174</c:v>
                </c:pt>
                <c:pt idx="18">
                  <c:v>19594.916624197078</c:v>
                </c:pt>
                <c:pt idx="19">
                  <c:v>17685.298470726673</c:v>
                </c:pt>
                <c:pt idx="20">
                  <c:v>16139.824739210066</c:v>
                </c:pt>
                <c:pt idx="21">
                  <c:v>15279.146867163659</c:v>
                </c:pt>
                <c:pt idx="22">
                  <c:v>16394.813010044567</c:v>
                </c:pt>
                <c:pt idx="23">
                  <c:v>15762.662151615232</c:v>
                </c:pt>
                <c:pt idx="24">
                  <c:v>15939.358819678688</c:v>
                </c:pt>
                <c:pt idx="25">
                  <c:v>17056.80212353577</c:v>
                </c:pt>
                <c:pt idx="26">
                  <c:v>16711.875097325134</c:v>
                </c:pt>
                <c:pt idx="27">
                  <c:v>16874.776337761261</c:v>
                </c:pt>
                <c:pt idx="28">
                  <c:v>17244.203193964957</c:v>
                </c:pt>
                <c:pt idx="29">
                  <c:v>17626.426182967814</c:v>
                </c:pt>
                <c:pt idx="30">
                  <c:v>17770.315596658962</c:v>
                </c:pt>
                <c:pt idx="31">
                  <c:v>17668.919542787433</c:v>
                </c:pt>
              </c:numCache>
            </c:numRef>
          </c:val>
          <c:smooth val="0"/>
          <c:extLst>
            <c:ext xmlns:c16="http://schemas.microsoft.com/office/drawing/2014/chart" uri="{C3380CC4-5D6E-409C-BE32-E72D297353CC}">
              <c16:uniqueId val="{00000003-D9A0-4FAD-A3F4-39A31819E4BB}"/>
            </c:ext>
          </c:extLst>
        </c:ser>
        <c:dLbls>
          <c:showLegendKey val="0"/>
          <c:showVal val="0"/>
          <c:showCatName val="0"/>
          <c:showSerName val="0"/>
          <c:showPercent val="0"/>
          <c:showBubbleSize val="0"/>
        </c:dLbls>
        <c:smooth val="0"/>
        <c:axId val="974935504"/>
        <c:axId val="974932176"/>
      </c:lineChart>
      <c:catAx>
        <c:axId val="97493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932176"/>
        <c:crosses val="autoZero"/>
        <c:auto val="1"/>
        <c:lblAlgn val="ctr"/>
        <c:lblOffset val="100"/>
        <c:noMultiLvlLbl val="0"/>
      </c:catAx>
      <c:valAx>
        <c:axId val="974932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935504"/>
        <c:crosses val="autoZero"/>
        <c:crossBetween val="between"/>
      </c:valAx>
      <c:spPr>
        <a:noFill/>
        <a:ln>
          <a:noFill/>
        </a:ln>
        <a:effectLst/>
      </c:spPr>
    </c:plotArea>
    <c:legend>
      <c:legendPos val="b"/>
      <c:layout>
        <c:manualLayout>
          <c:xMode val="edge"/>
          <c:yMode val="edge"/>
          <c:x val="0.14940928057069788"/>
          <c:y val="0.92003573482101697"/>
          <c:w val="0.70118143885860418"/>
          <c:h val="7.19175944889809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Figure 6. World Bank Government Effectiveness Index, for Selected Countries, 2010,2016.</a:t>
            </a:r>
          </a:p>
        </c:rich>
      </c:tx>
      <c:layout>
        <c:manualLayout>
          <c:xMode val="edge"/>
          <c:yMode val="edge"/>
          <c:x val="0.136212564775556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953361599030893E-2"/>
          <c:y val="0.11310455548866145"/>
          <c:w val="0.9145423648966956"/>
          <c:h val="0.78304186991677216"/>
        </c:manualLayout>
      </c:layout>
      <c:barChart>
        <c:barDir val="col"/>
        <c:grouping val="clustered"/>
        <c:varyColors val="0"/>
        <c:ser>
          <c:idx val="0"/>
          <c:order val="0"/>
          <c:tx>
            <c:strRef>
              <c:f>Sheet1!$D$3</c:f>
              <c:strCache>
                <c:ptCount val="1"/>
                <c:pt idx="0">
                  <c:v>2010</c:v>
                </c:pt>
              </c:strCache>
            </c:strRef>
          </c:tx>
          <c:spPr>
            <a:solidFill>
              <a:schemeClr val="accent1"/>
            </a:solidFill>
            <a:ln>
              <a:noFill/>
            </a:ln>
            <a:effectLst/>
          </c:spPr>
          <c:invertIfNegative val="0"/>
          <c:cat>
            <c:strRef>
              <c:f>Sheet1!$B$4:$B$24</c:f>
              <c:strCache>
                <c:ptCount val="16"/>
                <c:pt idx="0">
                  <c:v>US</c:v>
                </c:pt>
                <c:pt idx="1">
                  <c:v>UK</c:v>
                </c:pt>
                <c:pt idx="2">
                  <c:v>France</c:v>
                </c:pt>
                <c:pt idx="3">
                  <c:v>Russia</c:v>
                </c:pt>
                <c:pt idx="4">
                  <c:v>Japan</c:v>
                </c:pt>
                <c:pt idx="5">
                  <c:v>China</c:v>
                </c:pt>
                <c:pt idx="8">
                  <c:v>Brazil</c:v>
                </c:pt>
                <c:pt idx="9">
                  <c:v>S. Africa</c:v>
                </c:pt>
                <c:pt idx="10">
                  <c:v>India</c:v>
                </c:pt>
                <c:pt idx="11">
                  <c:v>Turkey</c:v>
                </c:pt>
                <c:pt idx="12">
                  <c:v>Iran</c:v>
                </c:pt>
                <c:pt idx="14">
                  <c:v>Somalia</c:v>
                </c:pt>
                <c:pt idx="15">
                  <c:v>Singapore</c:v>
                </c:pt>
              </c:strCache>
            </c:strRef>
          </c:cat>
          <c:val>
            <c:numRef>
              <c:f>Sheet1!$D$4:$D$24</c:f>
              <c:numCache>
                <c:formatCode>General</c:formatCode>
                <c:ptCount val="16"/>
                <c:pt idx="0">
                  <c:v>1.56</c:v>
                </c:pt>
                <c:pt idx="1">
                  <c:v>1.57</c:v>
                </c:pt>
                <c:pt idx="2">
                  <c:v>1.71</c:v>
                </c:pt>
                <c:pt idx="3">
                  <c:v>-0.47</c:v>
                </c:pt>
                <c:pt idx="4">
                  <c:v>1.53</c:v>
                </c:pt>
                <c:pt idx="5">
                  <c:v>0.09</c:v>
                </c:pt>
                <c:pt idx="8">
                  <c:v>0.09</c:v>
                </c:pt>
                <c:pt idx="9">
                  <c:v>0.39</c:v>
                </c:pt>
                <c:pt idx="10">
                  <c:v>0.03</c:v>
                </c:pt>
                <c:pt idx="11">
                  <c:v>0.28999999999999998</c:v>
                </c:pt>
                <c:pt idx="12">
                  <c:v>-0.43</c:v>
                </c:pt>
                <c:pt idx="14">
                  <c:v>-2.21</c:v>
                </c:pt>
                <c:pt idx="15">
                  <c:v>2.2400000000000002</c:v>
                </c:pt>
              </c:numCache>
            </c:numRef>
          </c:val>
          <c:extLst>
            <c:ext xmlns:c16="http://schemas.microsoft.com/office/drawing/2014/chart" uri="{C3380CC4-5D6E-409C-BE32-E72D297353CC}">
              <c16:uniqueId val="{00000000-7A10-4296-829A-044D5323A46F}"/>
            </c:ext>
          </c:extLst>
        </c:ser>
        <c:ser>
          <c:idx val="1"/>
          <c:order val="1"/>
          <c:tx>
            <c:strRef>
              <c:f>Sheet1!$E$3</c:f>
              <c:strCache>
                <c:ptCount val="1"/>
                <c:pt idx="0">
                  <c:v>2016</c:v>
                </c:pt>
              </c:strCache>
            </c:strRef>
          </c:tx>
          <c:spPr>
            <a:solidFill>
              <a:schemeClr val="accent2"/>
            </a:solidFill>
            <a:ln>
              <a:noFill/>
            </a:ln>
            <a:effectLst/>
          </c:spPr>
          <c:invertIfNegative val="0"/>
          <c:cat>
            <c:strRef>
              <c:f>Sheet1!$B$4:$B$24</c:f>
              <c:strCache>
                <c:ptCount val="16"/>
                <c:pt idx="0">
                  <c:v>US</c:v>
                </c:pt>
                <c:pt idx="1">
                  <c:v>UK</c:v>
                </c:pt>
                <c:pt idx="2">
                  <c:v>France</c:v>
                </c:pt>
                <c:pt idx="3">
                  <c:v>Russia</c:v>
                </c:pt>
                <c:pt idx="4">
                  <c:v>Japan</c:v>
                </c:pt>
                <c:pt idx="5">
                  <c:v>China</c:v>
                </c:pt>
                <c:pt idx="8">
                  <c:v>Brazil</c:v>
                </c:pt>
                <c:pt idx="9">
                  <c:v>S. Africa</c:v>
                </c:pt>
                <c:pt idx="10">
                  <c:v>India</c:v>
                </c:pt>
                <c:pt idx="11">
                  <c:v>Turkey</c:v>
                </c:pt>
                <c:pt idx="12">
                  <c:v>Iran</c:v>
                </c:pt>
                <c:pt idx="14">
                  <c:v>Somalia</c:v>
                </c:pt>
                <c:pt idx="15">
                  <c:v>Singapore</c:v>
                </c:pt>
              </c:strCache>
            </c:strRef>
          </c:cat>
          <c:val>
            <c:numRef>
              <c:f>Sheet1!$E$4:$E$24</c:f>
              <c:numCache>
                <c:formatCode>General</c:formatCode>
                <c:ptCount val="16"/>
                <c:pt idx="0">
                  <c:v>1.48</c:v>
                </c:pt>
                <c:pt idx="1">
                  <c:v>1.61</c:v>
                </c:pt>
                <c:pt idx="2">
                  <c:v>1.41</c:v>
                </c:pt>
                <c:pt idx="3">
                  <c:v>-0.22</c:v>
                </c:pt>
                <c:pt idx="4">
                  <c:v>1.83</c:v>
                </c:pt>
                <c:pt idx="5">
                  <c:v>0.36</c:v>
                </c:pt>
                <c:pt idx="8">
                  <c:v>-0.18</c:v>
                </c:pt>
                <c:pt idx="9">
                  <c:v>0.27</c:v>
                </c:pt>
                <c:pt idx="10">
                  <c:v>0.1</c:v>
                </c:pt>
                <c:pt idx="11">
                  <c:v>0.22</c:v>
                </c:pt>
                <c:pt idx="12">
                  <c:v>-0.2</c:v>
                </c:pt>
                <c:pt idx="14">
                  <c:v>-2.1800000000000002</c:v>
                </c:pt>
                <c:pt idx="15">
                  <c:v>2.21</c:v>
                </c:pt>
              </c:numCache>
            </c:numRef>
          </c:val>
          <c:extLst>
            <c:ext xmlns:c16="http://schemas.microsoft.com/office/drawing/2014/chart" uri="{C3380CC4-5D6E-409C-BE32-E72D297353CC}">
              <c16:uniqueId val="{00000001-7A10-4296-829A-044D5323A46F}"/>
            </c:ext>
          </c:extLst>
        </c:ser>
        <c:dLbls>
          <c:showLegendKey val="0"/>
          <c:showVal val="0"/>
          <c:showCatName val="0"/>
          <c:showSerName val="0"/>
          <c:showPercent val="0"/>
          <c:showBubbleSize val="0"/>
        </c:dLbls>
        <c:gapWidth val="75"/>
        <c:overlap val="-25"/>
        <c:axId val="1219592736"/>
        <c:axId val="1219595648"/>
      </c:barChart>
      <c:catAx>
        <c:axId val="12195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9595648"/>
        <c:crosses val="autoZero"/>
        <c:auto val="1"/>
        <c:lblAlgn val="ctr"/>
        <c:lblOffset val="100"/>
        <c:noMultiLvlLbl val="0"/>
      </c:catAx>
      <c:valAx>
        <c:axId val="1219595648"/>
        <c:scaling>
          <c:orientation val="minMax"/>
          <c:min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959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Figure 7. World Bank Index of Control of Corruption by States, 2010, 2016, Selected States. </a:t>
            </a:r>
          </a:p>
        </c:rich>
      </c:tx>
      <c:layout>
        <c:manualLayout>
          <c:xMode val="edge"/>
          <c:yMode val="edge"/>
          <c:x val="0.1216239316239316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953361599030893E-2"/>
          <c:y val="0.13161242050130939"/>
          <c:w val="0.9145423648966956"/>
          <c:h val="0.76410356112893296"/>
        </c:manualLayout>
      </c:layout>
      <c:barChart>
        <c:barDir val="col"/>
        <c:grouping val="clustered"/>
        <c:varyColors val="0"/>
        <c:ser>
          <c:idx val="0"/>
          <c:order val="0"/>
          <c:tx>
            <c:strRef>
              <c:f>Sheet1!$D$3</c:f>
              <c:strCache>
                <c:ptCount val="1"/>
                <c:pt idx="0">
                  <c:v>2010</c:v>
                </c:pt>
              </c:strCache>
            </c:strRef>
          </c:tx>
          <c:spPr>
            <a:solidFill>
              <a:schemeClr val="accent1"/>
            </a:solidFill>
            <a:ln>
              <a:noFill/>
            </a:ln>
            <a:effectLst/>
          </c:spPr>
          <c:invertIfNegative val="0"/>
          <c:cat>
            <c:strRef>
              <c:f>Sheet1!$B$4:$B$22</c:f>
              <c:strCache>
                <c:ptCount val="16"/>
                <c:pt idx="0">
                  <c:v>US</c:v>
                </c:pt>
                <c:pt idx="1">
                  <c:v>UK</c:v>
                </c:pt>
                <c:pt idx="2">
                  <c:v>France</c:v>
                </c:pt>
                <c:pt idx="3">
                  <c:v>Russia</c:v>
                </c:pt>
                <c:pt idx="4">
                  <c:v>Japan</c:v>
                </c:pt>
                <c:pt idx="5">
                  <c:v>China</c:v>
                </c:pt>
                <c:pt idx="8">
                  <c:v>Brazil</c:v>
                </c:pt>
                <c:pt idx="9">
                  <c:v>S. Africa</c:v>
                </c:pt>
                <c:pt idx="10">
                  <c:v>India</c:v>
                </c:pt>
                <c:pt idx="11">
                  <c:v>Turkey</c:v>
                </c:pt>
                <c:pt idx="12">
                  <c:v>Iran</c:v>
                </c:pt>
                <c:pt idx="14">
                  <c:v>Equitorial Guinea</c:v>
                </c:pt>
                <c:pt idx="15">
                  <c:v>New Zealand</c:v>
                </c:pt>
              </c:strCache>
            </c:strRef>
          </c:cat>
          <c:val>
            <c:numRef>
              <c:f>Sheet1!$H$4:$H$22</c:f>
              <c:numCache>
                <c:formatCode>General</c:formatCode>
                <c:ptCount val="16"/>
                <c:pt idx="0">
                  <c:v>1.27</c:v>
                </c:pt>
                <c:pt idx="1">
                  <c:v>1.6</c:v>
                </c:pt>
                <c:pt idx="2">
                  <c:v>1.47</c:v>
                </c:pt>
                <c:pt idx="3">
                  <c:v>-1.0900000000000001</c:v>
                </c:pt>
                <c:pt idx="4">
                  <c:v>1.56</c:v>
                </c:pt>
                <c:pt idx="5">
                  <c:v>-0.56000000000000005</c:v>
                </c:pt>
                <c:pt idx="8">
                  <c:v>0.05</c:v>
                </c:pt>
                <c:pt idx="9">
                  <c:v>0.13</c:v>
                </c:pt>
                <c:pt idx="10">
                  <c:v>-0.47</c:v>
                </c:pt>
                <c:pt idx="11">
                  <c:v>0.03</c:v>
                </c:pt>
                <c:pt idx="12">
                  <c:v>-0.95</c:v>
                </c:pt>
                <c:pt idx="14">
                  <c:v>-1.47</c:v>
                </c:pt>
                <c:pt idx="15">
                  <c:v>2.34</c:v>
                </c:pt>
              </c:numCache>
            </c:numRef>
          </c:val>
          <c:extLst>
            <c:ext xmlns:c16="http://schemas.microsoft.com/office/drawing/2014/chart" uri="{C3380CC4-5D6E-409C-BE32-E72D297353CC}">
              <c16:uniqueId val="{00000000-DD71-48E1-958F-7FA6C615F8C4}"/>
            </c:ext>
          </c:extLst>
        </c:ser>
        <c:ser>
          <c:idx val="1"/>
          <c:order val="1"/>
          <c:tx>
            <c:strRef>
              <c:f>Sheet1!$E$3</c:f>
              <c:strCache>
                <c:ptCount val="1"/>
                <c:pt idx="0">
                  <c:v>2016</c:v>
                </c:pt>
              </c:strCache>
            </c:strRef>
          </c:tx>
          <c:spPr>
            <a:solidFill>
              <a:schemeClr val="accent2"/>
            </a:solidFill>
            <a:ln>
              <a:noFill/>
            </a:ln>
            <a:effectLst/>
          </c:spPr>
          <c:invertIfNegative val="0"/>
          <c:cat>
            <c:strRef>
              <c:f>Sheet1!$B$4:$B$22</c:f>
              <c:strCache>
                <c:ptCount val="16"/>
                <c:pt idx="0">
                  <c:v>US</c:v>
                </c:pt>
                <c:pt idx="1">
                  <c:v>UK</c:v>
                </c:pt>
                <c:pt idx="2">
                  <c:v>France</c:v>
                </c:pt>
                <c:pt idx="3">
                  <c:v>Russia</c:v>
                </c:pt>
                <c:pt idx="4">
                  <c:v>Japan</c:v>
                </c:pt>
                <c:pt idx="5">
                  <c:v>China</c:v>
                </c:pt>
                <c:pt idx="8">
                  <c:v>Brazil</c:v>
                </c:pt>
                <c:pt idx="9">
                  <c:v>S. Africa</c:v>
                </c:pt>
                <c:pt idx="10">
                  <c:v>India</c:v>
                </c:pt>
                <c:pt idx="11">
                  <c:v>Turkey</c:v>
                </c:pt>
                <c:pt idx="12">
                  <c:v>Iran</c:v>
                </c:pt>
                <c:pt idx="14">
                  <c:v>Equitorial Guinea</c:v>
                </c:pt>
                <c:pt idx="15">
                  <c:v>New Zealand</c:v>
                </c:pt>
              </c:strCache>
            </c:strRef>
          </c:cat>
          <c:val>
            <c:numRef>
              <c:f>Sheet1!$I$4:$I$22</c:f>
              <c:numCache>
                <c:formatCode>General</c:formatCode>
                <c:ptCount val="16"/>
                <c:pt idx="0">
                  <c:v>1.33</c:v>
                </c:pt>
                <c:pt idx="1">
                  <c:v>1.88</c:v>
                </c:pt>
                <c:pt idx="2">
                  <c:v>1.37</c:v>
                </c:pt>
                <c:pt idx="3">
                  <c:v>-0.86</c:v>
                </c:pt>
                <c:pt idx="4">
                  <c:v>1.51</c:v>
                </c:pt>
                <c:pt idx="5">
                  <c:v>-0.25</c:v>
                </c:pt>
                <c:pt idx="8">
                  <c:v>-0.44</c:v>
                </c:pt>
                <c:pt idx="9">
                  <c:v>0.05</c:v>
                </c:pt>
                <c:pt idx="10">
                  <c:v>-0.3</c:v>
                </c:pt>
                <c:pt idx="11">
                  <c:v>-0.2</c:v>
                </c:pt>
                <c:pt idx="12">
                  <c:v>-0.72</c:v>
                </c:pt>
                <c:pt idx="14">
                  <c:v>-1.81</c:v>
                </c:pt>
                <c:pt idx="15">
                  <c:v>2.2999999999999998</c:v>
                </c:pt>
              </c:numCache>
            </c:numRef>
          </c:val>
          <c:extLst>
            <c:ext xmlns:c16="http://schemas.microsoft.com/office/drawing/2014/chart" uri="{C3380CC4-5D6E-409C-BE32-E72D297353CC}">
              <c16:uniqueId val="{00000001-DD71-48E1-958F-7FA6C615F8C4}"/>
            </c:ext>
          </c:extLst>
        </c:ser>
        <c:dLbls>
          <c:showLegendKey val="0"/>
          <c:showVal val="0"/>
          <c:showCatName val="0"/>
          <c:showSerName val="0"/>
          <c:showPercent val="0"/>
          <c:showBubbleSize val="0"/>
        </c:dLbls>
        <c:gapWidth val="75"/>
        <c:overlap val="-25"/>
        <c:axId val="1081129088"/>
        <c:axId val="1081136992"/>
      </c:barChart>
      <c:catAx>
        <c:axId val="108112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136992"/>
        <c:crosses val="autoZero"/>
        <c:auto val="1"/>
        <c:lblAlgn val="ctr"/>
        <c:lblOffset val="100"/>
        <c:noMultiLvlLbl val="0"/>
      </c:catAx>
      <c:valAx>
        <c:axId val="1081136992"/>
        <c:scaling>
          <c:orientation val="minMax"/>
          <c:max val="2.5"/>
          <c:min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12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8. Russian and Chinese GDP in millions</a:t>
            </a:r>
            <a:r>
              <a:rPr lang="en-US" baseline="0"/>
              <a:t> of Constant (2010) US Dollars (Source: World Bank).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'[GDP &amp; Military Expenditures China &amp; Russia.xlsx]Sheet1'!$A$10</c:f>
              <c:strCache>
                <c:ptCount val="1"/>
                <c:pt idx="0">
                  <c:v>Russian Federation</c:v>
                </c:pt>
              </c:strCache>
            </c:strRef>
          </c:tx>
          <c:spPr>
            <a:solidFill>
              <a:schemeClr val="accent1"/>
            </a:solidFill>
            <a:ln>
              <a:noFill/>
            </a:ln>
            <a:effectLst/>
          </c:spPr>
          <c:invertIfNegative val="0"/>
          <c:cat>
            <c:numRef>
              <c:f>'[GDP &amp; Military Expenditures China &amp; Russia.xlsx]Sheet1'!$B$9:$C$9</c:f>
              <c:numCache>
                <c:formatCode>General</c:formatCode>
                <c:ptCount val="2"/>
                <c:pt idx="0">
                  <c:v>1989</c:v>
                </c:pt>
                <c:pt idx="1">
                  <c:v>2016</c:v>
                </c:pt>
              </c:numCache>
            </c:numRef>
          </c:cat>
          <c:val>
            <c:numRef>
              <c:f>'[GDP &amp; Military Expenditures China &amp; Russia.xlsx]Sheet1'!$B$10:$C$10</c:f>
              <c:numCache>
                <c:formatCode>#,##0.00</c:formatCode>
                <c:ptCount val="2"/>
                <c:pt idx="0">
                  <c:v>1457617.9</c:v>
                </c:pt>
                <c:pt idx="1">
                  <c:v>1654433.87</c:v>
                </c:pt>
              </c:numCache>
            </c:numRef>
          </c:val>
          <c:extLst>
            <c:ext xmlns:c16="http://schemas.microsoft.com/office/drawing/2014/chart" uri="{C3380CC4-5D6E-409C-BE32-E72D297353CC}">
              <c16:uniqueId val="{00000000-916D-4C6B-A3B0-3BCBEB33C3AB}"/>
            </c:ext>
          </c:extLst>
        </c:ser>
        <c:ser>
          <c:idx val="1"/>
          <c:order val="1"/>
          <c:tx>
            <c:strRef>
              <c:f>'[GDP &amp; Military Expenditures China &amp; Russia.xlsx]Sheet1'!$A$11</c:f>
              <c:strCache>
                <c:ptCount val="1"/>
                <c:pt idx="0">
                  <c:v>China</c:v>
                </c:pt>
              </c:strCache>
            </c:strRef>
          </c:tx>
          <c:spPr>
            <a:solidFill>
              <a:schemeClr val="accent2"/>
            </a:solidFill>
            <a:ln>
              <a:noFill/>
            </a:ln>
            <a:effectLst/>
          </c:spPr>
          <c:invertIfNegative val="0"/>
          <c:cat>
            <c:numRef>
              <c:f>'[GDP &amp; Military Expenditures China &amp; Russia.xlsx]Sheet1'!$B$9:$C$9</c:f>
              <c:numCache>
                <c:formatCode>General</c:formatCode>
                <c:ptCount val="2"/>
                <c:pt idx="0">
                  <c:v>1989</c:v>
                </c:pt>
                <c:pt idx="1">
                  <c:v>2016</c:v>
                </c:pt>
              </c:numCache>
            </c:numRef>
          </c:cat>
          <c:val>
            <c:numRef>
              <c:f>'[GDP &amp; Military Expenditures China &amp; Russia.xlsx]Sheet1'!$B$11:$C$11</c:f>
              <c:numCache>
                <c:formatCode>#,##0.00</c:formatCode>
                <c:ptCount val="2"/>
                <c:pt idx="0">
                  <c:v>798368.79</c:v>
                </c:pt>
                <c:pt idx="1">
                  <c:v>9504208.1899999995</c:v>
                </c:pt>
              </c:numCache>
            </c:numRef>
          </c:val>
          <c:extLst>
            <c:ext xmlns:c16="http://schemas.microsoft.com/office/drawing/2014/chart" uri="{C3380CC4-5D6E-409C-BE32-E72D297353CC}">
              <c16:uniqueId val="{00000001-916D-4C6B-A3B0-3BCBEB33C3AB}"/>
            </c:ext>
          </c:extLst>
        </c:ser>
        <c:dLbls>
          <c:showLegendKey val="0"/>
          <c:showVal val="0"/>
          <c:showCatName val="0"/>
          <c:showSerName val="0"/>
          <c:showPercent val="0"/>
          <c:showBubbleSize val="0"/>
        </c:dLbls>
        <c:gapWidth val="219"/>
        <c:overlap val="-27"/>
        <c:axId val="528555136"/>
        <c:axId val="528555464"/>
      </c:barChart>
      <c:catAx>
        <c:axId val="52855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55464"/>
        <c:crosses val="autoZero"/>
        <c:auto val="1"/>
        <c:lblAlgn val="ctr"/>
        <c:lblOffset val="100"/>
        <c:noMultiLvlLbl val="0"/>
      </c:catAx>
      <c:valAx>
        <c:axId val="528555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5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9. Russian and Chinese</a:t>
            </a:r>
            <a:r>
              <a:rPr lang="en-US" baseline="0"/>
              <a:t> </a:t>
            </a:r>
            <a:r>
              <a:rPr lang="en-US"/>
              <a:t>Military Expenditures in</a:t>
            </a:r>
            <a:r>
              <a:rPr lang="en-US" baseline="0"/>
              <a:t> 2015 </a:t>
            </a:r>
            <a:r>
              <a:rPr lang="en-US"/>
              <a:t>Constant US Dollars (Source: SIPRI)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'[GDP &amp; Military Expenditures China &amp; Russia.xlsx]Sheet1'!$A$16</c:f>
              <c:strCache>
                <c:ptCount val="1"/>
                <c:pt idx="0">
                  <c:v>Russian Federation</c:v>
                </c:pt>
              </c:strCache>
            </c:strRef>
          </c:tx>
          <c:spPr>
            <a:solidFill>
              <a:schemeClr val="accent1"/>
            </a:solidFill>
            <a:ln>
              <a:noFill/>
            </a:ln>
            <a:effectLst/>
          </c:spPr>
          <c:invertIfNegative val="0"/>
          <c:cat>
            <c:numRef>
              <c:f>'[GDP &amp; Military Expenditures China &amp; Russia.xlsx]Sheet1'!$B$15:$C$15</c:f>
              <c:numCache>
                <c:formatCode>General</c:formatCode>
                <c:ptCount val="2"/>
                <c:pt idx="0">
                  <c:v>1989</c:v>
                </c:pt>
                <c:pt idx="1">
                  <c:v>2016</c:v>
                </c:pt>
              </c:numCache>
            </c:numRef>
          </c:cat>
          <c:val>
            <c:numRef>
              <c:f>'[GDP &amp; Military Expenditures China &amp; Russia.xlsx]Sheet1'!$B$16:$C$16</c:f>
              <c:numCache>
                <c:formatCode>0</c:formatCode>
                <c:ptCount val="2"/>
                <c:pt idx="0">
                  <c:v>231813.06659252782</c:v>
                </c:pt>
                <c:pt idx="1">
                  <c:v>70345.055824211129</c:v>
                </c:pt>
              </c:numCache>
            </c:numRef>
          </c:val>
          <c:extLst>
            <c:ext xmlns:c16="http://schemas.microsoft.com/office/drawing/2014/chart" uri="{C3380CC4-5D6E-409C-BE32-E72D297353CC}">
              <c16:uniqueId val="{00000000-F4C9-4F88-AD10-CC219A84B383}"/>
            </c:ext>
          </c:extLst>
        </c:ser>
        <c:ser>
          <c:idx val="1"/>
          <c:order val="1"/>
          <c:tx>
            <c:strRef>
              <c:f>'[GDP &amp; Military Expenditures China &amp; Russia.xlsx]Sheet1'!$A$17</c:f>
              <c:strCache>
                <c:ptCount val="1"/>
                <c:pt idx="0">
                  <c:v>China</c:v>
                </c:pt>
              </c:strCache>
            </c:strRef>
          </c:tx>
          <c:spPr>
            <a:solidFill>
              <a:schemeClr val="accent2"/>
            </a:solidFill>
            <a:ln>
              <a:noFill/>
            </a:ln>
            <a:effectLst/>
          </c:spPr>
          <c:invertIfNegative val="0"/>
          <c:cat>
            <c:numRef>
              <c:f>'[GDP &amp; Military Expenditures China &amp; Russia.xlsx]Sheet1'!$B$15:$C$15</c:f>
              <c:numCache>
                <c:formatCode>General</c:formatCode>
                <c:ptCount val="2"/>
                <c:pt idx="0">
                  <c:v>1989</c:v>
                </c:pt>
                <c:pt idx="1">
                  <c:v>2016</c:v>
                </c:pt>
              </c:numCache>
            </c:numRef>
          </c:cat>
          <c:val>
            <c:numRef>
              <c:f>'[GDP &amp; Military Expenditures China &amp; Russia.xlsx]Sheet1'!$B$17:$C$17</c:f>
              <c:numCache>
                <c:formatCode>0</c:formatCode>
                <c:ptCount val="2"/>
                <c:pt idx="0">
                  <c:v>20225.960316656583</c:v>
                </c:pt>
                <c:pt idx="1">
                  <c:v>225712.5874737172</c:v>
                </c:pt>
              </c:numCache>
            </c:numRef>
          </c:val>
          <c:extLst>
            <c:ext xmlns:c16="http://schemas.microsoft.com/office/drawing/2014/chart" uri="{C3380CC4-5D6E-409C-BE32-E72D297353CC}">
              <c16:uniqueId val="{00000001-F4C9-4F88-AD10-CC219A84B383}"/>
            </c:ext>
          </c:extLst>
        </c:ser>
        <c:dLbls>
          <c:showLegendKey val="0"/>
          <c:showVal val="0"/>
          <c:showCatName val="0"/>
          <c:showSerName val="0"/>
          <c:showPercent val="0"/>
          <c:showBubbleSize val="0"/>
        </c:dLbls>
        <c:gapWidth val="219"/>
        <c:overlap val="-27"/>
        <c:axId val="528556120"/>
        <c:axId val="528556448"/>
      </c:barChart>
      <c:catAx>
        <c:axId val="52855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56448"/>
        <c:crosses val="autoZero"/>
        <c:auto val="1"/>
        <c:lblAlgn val="ctr"/>
        <c:lblOffset val="100"/>
        <c:noMultiLvlLbl val="0"/>
      </c:catAx>
      <c:valAx>
        <c:axId val="52855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5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4B2D3-3F14-4B9B-B92F-772C8EB9E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6965</TotalTime>
  <Pages>32</Pages>
  <Words>7278</Words>
  <Characters>41487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Volgy</dc:creator>
  <cp:keywords/>
  <dc:description/>
  <cp:lastModifiedBy>Volgy, Thomas J - (volgy)</cp:lastModifiedBy>
  <cp:revision>106</cp:revision>
  <cp:lastPrinted>2018-05-29T19:20:00Z</cp:lastPrinted>
  <dcterms:created xsi:type="dcterms:W3CDTF">2018-05-23T16:35:00Z</dcterms:created>
  <dcterms:modified xsi:type="dcterms:W3CDTF">2018-06-25T17:01:00Z</dcterms:modified>
</cp:coreProperties>
</file>