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834A2" w14:textId="189A68F6" w:rsidR="00BB3CCF" w:rsidRDefault="006C4048" w:rsidP="00BB3CCF">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B3CCF">
        <w:rPr>
          <w:rFonts w:ascii="Times New Roman" w:hAnsi="Times New Roman" w:cs="Times New Roman"/>
          <w:b/>
          <w:bCs/>
          <w:sz w:val="24"/>
          <w:szCs w:val="24"/>
        </w:rPr>
        <w:t>Political Shocks</w:t>
      </w:r>
      <w:r w:rsidR="007637A3">
        <w:rPr>
          <w:rFonts w:ascii="Times New Roman" w:hAnsi="Times New Roman" w:cs="Times New Roman"/>
          <w:b/>
          <w:bCs/>
          <w:sz w:val="24"/>
          <w:szCs w:val="24"/>
        </w:rPr>
        <w:t xml:space="preserve"> in International Politics</w:t>
      </w:r>
      <w:r w:rsidR="00BB3CCF">
        <w:rPr>
          <w:rFonts w:ascii="Times New Roman" w:hAnsi="Times New Roman" w:cs="Times New Roman"/>
          <w:b/>
          <w:bCs/>
          <w:sz w:val="24"/>
          <w:szCs w:val="24"/>
        </w:rPr>
        <w:t>: A</w:t>
      </w:r>
      <w:r w:rsidR="00E01F59">
        <w:rPr>
          <w:rFonts w:ascii="Times New Roman" w:hAnsi="Times New Roman" w:cs="Times New Roman"/>
          <w:b/>
          <w:bCs/>
          <w:sz w:val="24"/>
          <w:szCs w:val="24"/>
        </w:rPr>
        <w:t>n Alternative</w:t>
      </w:r>
      <w:r w:rsidR="00C2778E">
        <w:rPr>
          <w:rFonts w:ascii="Times New Roman" w:hAnsi="Times New Roman" w:cs="Times New Roman"/>
          <w:b/>
          <w:bCs/>
          <w:sz w:val="24"/>
          <w:szCs w:val="24"/>
        </w:rPr>
        <w:t xml:space="preserve"> </w:t>
      </w:r>
      <w:r w:rsidR="00E01F59">
        <w:rPr>
          <w:rFonts w:ascii="Times New Roman" w:hAnsi="Times New Roman" w:cs="Times New Roman"/>
          <w:b/>
          <w:bCs/>
          <w:sz w:val="24"/>
          <w:szCs w:val="24"/>
        </w:rPr>
        <w:t>Approach</w:t>
      </w:r>
    </w:p>
    <w:p w14:paraId="13462A30" w14:textId="480C994C" w:rsidR="00BB3CCF" w:rsidRPr="00BB3CCF" w:rsidRDefault="00BB3CCF" w:rsidP="00BB3CCF">
      <w:pPr>
        <w:jc w:val="center"/>
        <w:rPr>
          <w:rFonts w:ascii="Times New Roman" w:hAnsi="Times New Roman" w:cs="Times New Roman"/>
          <w:sz w:val="24"/>
          <w:szCs w:val="24"/>
        </w:rPr>
      </w:pPr>
      <w:r w:rsidRPr="00BB3CCF">
        <w:rPr>
          <w:rFonts w:ascii="Times New Roman" w:hAnsi="Times New Roman" w:cs="Times New Roman"/>
          <w:sz w:val="24"/>
          <w:szCs w:val="24"/>
        </w:rPr>
        <w:t>Kelly Marie Gordell</w:t>
      </w:r>
    </w:p>
    <w:p w14:paraId="2661E256" w14:textId="00BCD02B" w:rsidR="00BB3CCF" w:rsidRPr="00BB3CCF" w:rsidRDefault="00BB3CCF" w:rsidP="00BB3CCF">
      <w:pPr>
        <w:jc w:val="center"/>
        <w:rPr>
          <w:rFonts w:ascii="Times New Roman" w:hAnsi="Times New Roman" w:cs="Times New Roman"/>
          <w:sz w:val="24"/>
          <w:szCs w:val="24"/>
        </w:rPr>
      </w:pPr>
      <w:r w:rsidRPr="00BB3CCF">
        <w:rPr>
          <w:rFonts w:ascii="Times New Roman" w:hAnsi="Times New Roman" w:cs="Times New Roman"/>
          <w:sz w:val="24"/>
          <w:szCs w:val="24"/>
        </w:rPr>
        <w:t>Thomas J. Volgy</w:t>
      </w:r>
    </w:p>
    <w:p w14:paraId="30C1FFDD" w14:textId="33F7F329" w:rsidR="002B60F0" w:rsidRPr="007F6276" w:rsidRDefault="007F6276">
      <w:pPr>
        <w:rPr>
          <w:rFonts w:ascii="Times New Roman" w:hAnsi="Times New Roman" w:cs="Times New Roman"/>
          <w:b/>
          <w:bCs/>
          <w:sz w:val="24"/>
          <w:szCs w:val="24"/>
        </w:rPr>
      </w:pPr>
      <w:r w:rsidRPr="007F6276">
        <w:rPr>
          <w:rFonts w:ascii="Times New Roman" w:hAnsi="Times New Roman" w:cs="Times New Roman"/>
          <w:b/>
          <w:bCs/>
          <w:sz w:val="24"/>
          <w:szCs w:val="24"/>
        </w:rPr>
        <w:t>Introduction</w:t>
      </w:r>
    </w:p>
    <w:p w14:paraId="75217A11" w14:textId="108DC691" w:rsidR="007F6276" w:rsidRDefault="007F6276" w:rsidP="007F62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the following events: </w:t>
      </w:r>
      <w:r w:rsidR="007622A4">
        <w:rPr>
          <w:rFonts w:ascii="Times New Roman" w:hAnsi="Times New Roman" w:cs="Times New Roman"/>
          <w:sz w:val="24"/>
          <w:szCs w:val="24"/>
        </w:rPr>
        <w:t xml:space="preserve">the </w:t>
      </w:r>
      <w:r>
        <w:rPr>
          <w:rFonts w:ascii="Times New Roman" w:hAnsi="Times New Roman" w:cs="Times New Roman"/>
          <w:sz w:val="24"/>
          <w:szCs w:val="24"/>
        </w:rPr>
        <w:t>9/11</w:t>
      </w:r>
      <w:r w:rsidR="007622A4">
        <w:rPr>
          <w:rFonts w:ascii="Times New Roman" w:hAnsi="Times New Roman" w:cs="Times New Roman"/>
          <w:sz w:val="24"/>
          <w:szCs w:val="24"/>
        </w:rPr>
        <w:t xml:space="preserve"> terrorist attack on the United States</w:t>
      </w:r>
      <w:r w:rsidR="00740E31">
        <w:rPr>
          <w:rFonts w:ascii="Times New Roman" w:hAnsi="Times New Roman" w:cs="Times New Roman"/>
          <w:sz w:val="24"/>
          <w:szCs w:val="24"/>
        </w:rPr>
        <w:t>;</w:t>
      </w:r>
      <w:r>
        <w:rPr>
          <w:rFonts w:ascii="Times New Roman" w:hAnsi="Times New Roman" w:cs="Times New Roman"/>
          <w:sz w:val="24"/>
          <w:szCs w:val="24"/>
        </w:rPr>
        <w:t xml:space="preserve"> the British decision to exit the European Union</w:t>
      </w:r>
      <w:r w:rsidR="00740E31">
        <w:rPr>
          <w:rFonts w:ascii="Times New Roman" w:hAnsi="Times New Roman" w:cs="Times New Roman"/>
          <w:sz w:val="24"/>
          <w:szCs w:val="24"/>
        </w:rPr>
        <w:t>;</w:t>
      </w:r>
      <w:r>
        <w:rPr>
          <w:rFonts w:ascii="Times New Roman" w:hAnsi="Times New Roman" w:cs="Times New Roman"/>
          <w:sz w:val="24"/>
          <w:szCs w:val="24"/>
        </w:rPr>
        <w:t xml:space="preserve"> the </w:t>
      </w:r>
      <w:r w:rsidR="00314ADC">
        <w:rPr>
          <w:rFonts w:ascii="Times New Roman" w:hAnsi="Times New Roman" w:cs="Times New Roman"/>
          <w:sz w:val="24"/>
          <w:szCs w:val="24"/>
        </w:rPr>
        <w:t xml:space="preserve">sudden </w:t>
      </w:r>
      <w:r>
        <w:rPr>
          <w:rFonts w:ascii="Times New Roman" w:hAnsi="Times New Roman" w:cs="Times New Roman"/>
          <w:sz w:val="24"/>
          <w:szCs w:val="24"/>
        </w:rPr>
        <w:t>end of the Cold War and the disintegration of the Soviet Union</w:t>
      </w:r>
      <w:r w:rsidR="00740E31">
        <w:rPr>
          <w:rFonts w:ascii="Times New Roman" w:hAnsi="Times New Roman" w:cs="Times New Roman"/>
          <w:sz w:val="24"/>
          <w:szCs w:val="24"/>
        </w:rPr>
        <w:t>;</w:t>
      </w:r>
      <w:r>
        <w:rPr>
          <w:rFonts w:ascii="Times New Roman" w:hAnsi="Times New Roman" w:cs="Times New Roman"/>
          <w:sz w:val="24"/>
          <w:szCs w:val="24"/>
        </w:rPr>
        <w:t xml:space="preserve"> the 2016 election of Donald Trump</w:t>
      </w:r>
      <w:r w:rsidR="00740E31">
        <w:rPr>
          <w:rFonts w:ascii="Times New Roman" w:hAnsi="Times New Roman" w:cs="Times New Roman"/>
          <w:sz w:val="24"/>
          <w:szCs w:val="24"/>
        </w:rPr>
        <w:t>;</w:t>
      </w:r>
      <w:r>
        <w:rPr>
          <w:rFonts w:ascii="Times New Roman" w:hAnsi="Times New Roman" w:cs="Times New Roman"/>
          <w:sz w:val="24"/>
          <w:szCs w:val="24"/>
        </w:rPr>
        <w:t xml:space="preserve"> the Russian invasion of the Crimea</w:t>
      </w:r>
      <w:r w:rsidR="00740E31">
        <w:rPr>
          <w:rFonts w:ascii="Times New Roman" w:hAnsi="Times New Roman" w:cs="Times New Roman"/>
          <w:sz w:val="24"/>
          <w:szCs w:val="24"/>
        </w:rPr>
        <w:t>;</w:t>
      </w:r>
      <w:r>
        <w:rPr>
          <w:rFonts w:ascii="Times New Roman" w:hAnsi="Times New Roman" w:cs="Times New Roman"/>
          <w:sz w:val="24"/>
          <w:szCs w:val="24"/>
        </w:rPr>
        <w:t xml:space="preserve"> the devastating </w:t>
      </w:r>
      <w:r w:rsidR="00B04A16">
        <w:rPr>
          <w:rFonts w:ascii="Times New Roman" w:hAnsi="Times New Roman" w:cs="Times New Roman"/>
          <w:sz w:val="24"/>
          <w:szCs w:val="24"/>
        </w:rPr>
        <w:t xml:space="preserve">Haitian </w:t>
      </w:r>
      <w:r>
        <w:rPr>
          <w:rFonts w:ascii="Times New Roman" w:hAnsi="Times New Roman" w:cs="Times New Roman"/>
          <w:sz w:val="24"/>
          <w:szCs w:val="24"/>
        </w:rPr>
        <w:t>earthquake of 2010</w:t>
      </w:r>
      <w:r w:rsidR="00740E31">
        <w:rPr>
          <w:rFonts w:ascii="Times New Roman" w:hAnsi="Times New Roman" w:cs="Times New Roman"/>
          <w:sz w:val="24"/>
          <w:szCs w:val="24"/>
        </w:rPr>
        <w:t xml:space="preserve">; </w:t>
      </w:r>
      <w:r w:rsidR="00EF4D63">
        <w:rPr>
          <w:rFonts w:ascii="Times New Roman" w:hAnsi="Times New Roman" w:cs="Times New Roman"/>
          <w:sz w:val="24"/>
          <w:szCs w:val="24"/>
        </w:rPr>
        <w:t xml:space="preserve">the genocide in Rwanda; </w:t>
      </w:r>
      <w:r w:rsidR="00740E31">
        <w:rPr>
          <w:rFonts w:ascii="Times New Roman" w:hAnsi="Times New Roman" w:cs="Times New Roman"/>
          <w:sz w:val="24"/>
          <w:szCs w:val="24"/>
        </w:rPr>
        <w:t xml:space="preserve">the Covid-19 pandemic; the Iranian revolution that replaced the Shah with an Islamist regime; the disintegration of Yugoslavia and the genocide that resulted; the economic meltdown of 2008. </w:t>
      </w:r>
    </w:p>
    <w:p w14:paraId="7B11C7AA" w14:textId="42F03F7F" w:rsidR="00E1705E" w:rsidRDefault="00E1705E" w:rsidP="007F62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events range across </w:t>
      </w:r>
      <w:r w:rsidR="00BD62C0">
        <w:rPr>
          <w:rFonts w:ascii="Times New Roman" w:hAnsi="Times New Roman" w:cs="Times New Roman"/>
          <w:sz w:val="24"/>
          <w:szCs w:val="24"/>
        </w:rPr>
        <w:t>domestic and</w:t>
      </w:r>
      <w:r w:rsidR="00C2778E">
        <w:rPr>
          <w:rFonts w:ascii="Times New Roman" w:hAnsi="Times New Roman" w:cs="Times New Roman"/>
          <w:sz w:val="24"/>
          <w:szCs w:val="24"/>
        </w:rPr>
        <w:t>/or</w:t>
      </w:r>
      <w:r w:rsidR="00BD62C0">
        <w:rPr>
          <w:rFonts w:ascii="Times New Roman" w:hAnsi="Times New Roman" w:cs="Times New Roman"/>
          <w:sz w:val="24"/>
          <w:szCs w:val="24"/>
        </w:rPr>
        <w:t xml:space="preserve"> international </w:t>
      </w:r>
      <w:r>
        <w:rPr>
          <w:rFonts w:ascii="Times New Roman" w:hAnsi="Times New Roman" w:cs="Times New Roman"/>
          <w:sz w:val="24"/>
          <w:szCs w:val="24"/>
        </w:rPr>
        <w:t>political, economic, and ecological phenomena. All of them were unanticipated</w:t>
      </w:r>
      <w:r w:rsidR="00314ADC">
        <w:rPr>
          <w:rFonts w:ascii="Times New Roman" w:hAnsi="Times New Roman" w:cs="Times New Roman"/>
          <w:sz w:val="24"/>
          <w:szCs w:val="24"/>
        </w:rPr>
        <w:t>, occurred quickly and were</w:t>
      </w:r>
      <w:r>
        <w:rPr>
          <w:rFonts w:ascii="Times New Roman" w:hAnsi="Times New Roman" w:cs="Times New Roman"/>
          <w:sz w:val="24"/>
          <w:szCs w:val="24"/>
        </w:rPr>
        <w:t xml:space="preserve"> judged to have </w:t>
      </w:r>
      <w:r w:rsidR="003B02D0">
        <w:rPr>
          <w:rFonts w:ascii="Times New Roman" w:hAnsi="Times New Roman" w:cs="Times New Roman"/>
          <w:sz w:val="24"/>
          <w:szCs w:val="24"/>
        </w:rPr>
        <w:t>had deep</w:t>
      </w:r>
      <w:r>
        <w:rPr>
          <w:rFonts w:ascii="Times New Roman" w:hAnsi="Times New Roman" w:cs="Times New Roman"/>
          <w:sz w:val="24"/>
          <w:szCs w:val="24"/>
        </w:rPr>
        <w:t xml:space="preserve"> impacts on those effected. Each appear to be unique in its own way, but together they constitute a few of </w:t>
      </w:r>
      <w:r w:rsidR="00A761D5">
        <w:rPr>
          <w:rFonts w:ascii="Times New Roman" w:hAnsi="Times New Roman" w:cs="Times New Roman"/>
          <w:sz w:val="24"/>
          <w:szCs w:val="24"/>
        </w:rPr>
        <w:t xml:space="preserve">a </w:t>
      </w:r>
      <w:r w:rsidR="00C2778E">
        <w:rPr>
          <w:rFonts w:ascii="Times New Roman" w:hAnsi="Times New Roman" w:cs="Times New Roman"/>
          <w:sz w:val="24"/>
          <w:szCs w:val="24"/>
        </w:rPr>
        <w:t xml:space="preserve">wide range </w:t>
      </w:r>
      <w:r>
        <w:rPr>
          <w:rFonts w:ascii="Times New Roman" w:hAnsi="Times New Roman" w:cs="Times New Roman"/>
          <w:sz w:val="24"/>
          <w:szCs w:val="24"/>
        </w:rPr>
        <w:t xml:space="preserve">of cases that are typically </w:t>
      </w:r>
      <w:r w:rsidR="00C2778E">
        <w:rPr>
          <w:rFonts w:ascii="Times New Roman" w:hAnsi="Times New Roman" w:cs="Times New Roman"/>
          <w:sz w:val="24"/>
          <w:szCs w:val="24"/>
        </w:rPr>
        <w:t>addressed</w:t>
      </w:r>
      <w:r>
        <w:rPr>
          <w:rFonts w:ascii="Times New Roman" w:hAnsi="Times New Roman" w:cs="Times New Roman"/>
          <w:sz w:val="24"/>
          <w:szCs w:val="24"/>
        </w:rPr>
        <w:t xml:space="preserve"> in the </w:t>
      </w:r>
      <w:r w:rsidR="00BD62C0">
        <w:rPr>
          <w:rFonts w:ascii="Times New Roman" w:hAnsi="Times New Roman" w:cs="Times New Roman"/>
          <w:sz w:val="24"/>
          <w:szCs w:val="24"/>
        </w:rPr>
        <w:t>international relations (IR)</w:t>
      </w:r>
      <w:r>
        <w:rPr>
          <w:rFonts w:ascii="Times New Roman" w:hAnsi="Times New Roman" w:cs="Times New Roman"/>
          <w:sz w:val="24"/>
          <w:szCs w:val="24"/>
        </w:rPr>
        <w:t xml:space="preserve"> literature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as political shocks that have changed the course of interstate </w:t>
      </w:r>
      <w:r w:rsidR="00686346">
        <w:rPr>
          <w:rFonts w:ascii="Times New Roman" w:hAnsi="Times New Roman" w:cs="Times New Roman"/>
          <w:sz w:val="24"/>
          <w:szCs w:val="24"/>
        </w:rPr>
        <w:t xml:space="preserve">and intrastate </w:t>
      </w:r>
      <w:r>
        <w:rPr>
          <w:rFonts w:ascii="Times New Roman" w:hAnsi="Times New Roman" w:cs="Times New Roman"/>
          <w:sz w:val="24"/>
          <w:szCs w:val="24"/>
        </w:rPr>
        <w:t xml:space="preserve">relations and many of them have been judged to have altered the nature of regional or global international politics. </w:t>
      </w:r>
    </w:p>
    <w:p w14:paraId="6D4F79D6" w14:textId="660EFD9F" w:rsidR="00B078D4" w:rsidRDefault="00E1705E" w:rsidP="007F62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Understandably then political shocks have come to be considered </w:t>
      </w:r>
      <w:r w:rsidR="00322B1C">
        <w:rPr>
          <w:rFonts w:ascii="Times New Roman" w:hAnsi="Times New Roman" w:cs="Times New Roman"/>
          <w:sz w:val="24"/>
          <w:szCs w:val="24"/>
        </w:rPr>
        <w:t xml:space="preserve">highly salient </w:t>
      </w:r>
      <w:r>
        <w:rPr>
          <w:rFonts w:ascii="Times New Roman" w:hAnsi="Times New Roman" w:cs="Times New Roman"/>
          <w:sz w:val="24"/>
          <w:szCs w:val="24"/>
        </w:rPr>
        <w:t xml:space="preserve">for </w:t>
      </w:r>
      <w:r w:rsidR="00CB0335">
        <w:rPr>
          <w:rFonts w:ascii="Times New Roman" w:hAnsi="Times New Roman" w:cs="Times New Roman"/>
          <w:sz w:val="24"/>
          <w:szCs w:val="24"/>
        </w:rPr>
        <w:t xml:space="preserve">explaining </w:t>
      </w:r>
      <w:r w:rsidR="002E4312">
        <w:rPr>
          <w:rFonts w:ascii="Times New Roman" w:hAnsi="Times New Roman" w:cs="Times New Roman"/>
          <w:sz w:val="24"/>
          <w:szCs w:val="24"/>
        </w:rPr>
        <w:t xml:space="preserve">major changes to </w:t>
      </w:r>
      <w:r w:rsidR="007F480B">
        <w:rPr>
          <w:rFonts w:ascii="Times New Roman" w:hAnsi="Times New Roman" w:cs="Times New Roman"/>
          <w:sz w:val="24"/>
          <w:szCs w:val="24"/>
        </w:rPr>
        <w:t>interstate relations</w:t>
      </w:r>
      <w:r w:rsidR="002D254D">
        <w:rPr>
          <w:rFonts w:ascii="Times New Roman" w:hAnsi="Times New Roman" w:cs="Times New Roman"/>
          <w:sz w:val="24"/>
          <w:szCs w:val="24"/>
        </w:rPr>
        <w:t>. Yet, the analysis of</w:t>
      </w:r>
      <w:r w:rsidR="007F6276" w:rsidRPr="0066796F">
        <w:rPr>
          <w:rFonts w:ascii="Times New Roman" w:hAnsi="Times New Roman" w:cs="Times New Roman"/>
          <w:sz w:val="24"/>
          <w:szCs w:val="24"/>
        </w:rPr>
        <w:t xml:space="preserve"> political shocks</w:t>
      </w:r>
      <w:r w:rsidR="002D254D">
        <w:rPr>
          <w:rFonts w:ascii="Times New Roman" w:hAnsi="Times New Roman" w:cs="Times New Roman"/>
          <w:sz w:val="24"/>
          <w:szCs w:val="24"/>
        </w:rPr>
        <w:t>,</w:t>
      </w:r>
      <w:r w:rsidR="007F6276" w:rsidRPr="0066796F">
        <w:rPr>
          <w:rFonts w:ascii="Times New Roman" w:hAnsi="Times New Roman" w:cs="Times New Roman"/>
          <w:sz w:val="24"/>
          <w:szCs w:val="24"/>
        </w:rPr>
        <w:t xml:space="preserve"> as its own topic of study</w:t>
      </w:r>
      <w:r w:rsidR="002D254D">
        <w:rPr>
          <w:rFonts w:ascii="Times New Roman" w:hAnsi="Times New Roman" w:cs="Times New Roman"/>
          <w:sz w:val="24"/>
          <w:szCs w:val="24"/>
        </w:rPr>
        <w:t>,</w:t>
      </w:r>
      <w:r w:rsidR="007F6276" w:rsidRPr="0066796F">
        <w:rPr>
          <w:rFonts w:ascii="Times New Roman" w:hAnsi="Times New Roman" w:cs="Times New Roman"/>
          <w:sz w:val="24"/>
          <w:szCs w:val="24"/>
        </w:rPr>
        <w:t xml:space="preserve"> remains underdeveloped</w:t>
      </w:r>
      <w:r w:rsidR="002D254D">
        <w:rPr>
          <w:rFonts w:ascii="Times New Roman" w:hAnsi="Times New Roman" w:cs="Times New Roman"/>
          <w:sz w:val="24"/>
          <w:szCs w:val="24"/>
        </w:rPr>
        <w:t xml:space="preserve">, and especially so when compared to analyses of </w:t>
      </w:r>
      <w:r w:rsidR="007F6276" w:rsidRPr="0066796F">
        <w:rPr>
          <w:rFonts w:ascii="Times New Roman" w:hAnsi="Times New Roman" w:cs="Times New Roman"/>
          <w:sz w:val="24"/>
          <w:szCs w:val="24"/>
        </w:rPr>
        <w:t xml:space="preserve">other </w:t>
      </w:r>
      <w:r w:rsidR="002D254D">
        <w:rPr>
          <w:rFonts w:ascii="Times New Roman" w:hAnsi="Times New Roman" w:cs="Times New Roman"/>
          <w:sz w:val="24"/>
          <w:szCs w:val="24"/>
        </w:rPr>
        <w:t xml:space="preserve">key </w:t>
      </w:r>
      <w:r w:rsidR="007F6276" w:rsidRPr="0066796F">
        <w:rPr>
          <w:rFonts w:ascii="Times New Roman" w:hAnsi="Times New Roman" w:cs="Times New Roman"/>
          <w:sz w:val="24"/>
          <w:szCs w:val="24"/>
        </w:rPr>
        <w:t xml:space="preserve">concepts </w:t>
      </w:r>
      <w:r w:rsidR="002D254D">
        <w:rPr>
          <w:rFonts w:ascii="Times New Roman" w:hAnsi="Times New Roman" w:cs="Times New Roman"/>
          <w:sz w:val="24"/>
          <w:szCs w:val="24"/>
        </w:rPr>
        <w:t xml:space="preserve">in </w:t>
      </w:r>
      <w:r w:rsidR="007F6276" w:rsidRPr="0066796F">
        <w:rPr>
          <w:rFonts w:ascii="Times New Roman" w:hAnsi="Times New Roman" w:cs="Times New Roman"/>
          <w:sz w:val="24"/>
          <w:szCs w:val="24"/>
        </w:rPr>
        <w:t>the field</w:t>
      </w:r>
      <w:r w:rsidR="002D254D">
        <w:rPr>
          <w:rFonts w:ascii="Times New Roman" w:hAnsi="Times New Roman" w:cs="Times New Roman"/>
          <w:sz w:val="24"/>
          <w:szCs w:val="24"/>
        </w:rPr>
        <w:t xml:space="preserve">. </w:t>
      </w:r>
      <w:r w:rsidR="007F6276" w:rsidRPr="0066796F">
        <w:rPr>
          <w:rFonts w:ascii="Times New Roman" w:hAnsi="Times New Roman" w:cs="Times New Roman"/>
          <w:sz w:val="24"/>
          <w:szCs w:val="24"/>
        </w:rPr>
        <w:t xml:space="preserve">No overarching study of political shocks currently exists, and </w:t>
      </w:r>
      <w:r w:rsidR="00BD62C0">
        <w:rPr>
          <w:rFonts w:ascii="Times New Roman" w:hAnsi="Times New Roman" w:cs="Times New Roman"/>
          <w:sz w:val="24"/>
          <w:szCs w:val="24"/>
        </w:rPr>
        <w:t xml:space="preserve">with very </w:t>
      </w:r>
      <w:r w:rsidR="00BD62C0">
        <w:rPr>
          <w:rFonts w:ascii="Times New Roman" w:hAnsi="Times New Roman" w:cs="Times New Roman"/>
          <w:sz w:val="24"/>
          <w:szCs w:val="24"/>
        </w:rPr>
        <w:lastRenderedPageBreak/>
        <w:t xml:space="preserve">few exceptions, </w:t>
      </w:r>
      <w:r w:rsidR="007F6276" w:rsidRPr="0066796F">
        <w:rPr>
          <w:rFonts w:ascii="Times New Roman" w:hAnsi="Times New Roman" w:cs="Times New Roman"/>
          <w:sz w:val="24"/>
          <w:szCs w:val="24"/>
        </w:rPr>
        <w:t xml:space="preserve">what we do know primarily comes from </w:t>
      </w:r>
      <w:r w:rsidR="00B078D4">
        <w:rPr>
          <w:rFonts w:ascii="Times New Roman" w:hAnsi="Times New Roman" w:cs="Times New Roman"/>
          <w:sz w:val="24"/>
          <w:szCs w:val="24"/>
        </w:rPr>
        <w:t>work</w:t>
      </w:r>
      <w:r w:rsidR="00D63381">
        <w:rPr>
          <w:rFonts w:ascii="Times New Roman" w:hAnsi="Times New Roman" w:cs="Times New Roman"/>
          <w:sz w:val="24"/>
          <w:szCs w:val="24"/>
        </w:rPr>
        <w:t xml:space="preserve"> (as we note below)</w:t>
      </w:r>
      <w:r w:rsidR="00B078D4">
        <w:rPr>
          <w:rFonts w:ascii="Times New Roman" w:hAnsi="Times New Roman" w:cs="Times New Roman"/>
          <w:sz w:val="24"/>
          <w:szCs w:val="24"/>
        </w:rPr>
        <w:t xml:space="preserve"> where the focus is </w:t>
      </w:r>
      <w:r w:rsidR="00266215">
        <w:rPr>
          <w:rFonts w:ascii="Times New Roman" w:hAnsi="Times New Roman" w:cs="Times New Roman"/>
          <w:sz w:val="24"/>
          <w:szCs w:val="24"/>
        </w:rPr>
        <w:t xml:space="preserve">typically </w:t>
      </w:r>
      <w:r w:rsidR="00B078D4">
        <w:rPr>
          <w:rFonts w:ascii="Times New Roman" w:hAnsi="Times New Roman" w:cs="Times New Roman"/>
          <w:sz w:val="24"/>
          <w:szCs w:val="24"/>
        </w:rPr>
        <w:t xml:space="preserve">on other phenomena driving the inquiry. </w:t>
      </w:r>
    </w:p>
    <w:p w14:paraId="6322B95D" w14:textId="15C06A0C" w:rsidR="00024A84" w:rsidRDefault="00B078D4" w:rsidP="007F6276">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purpose</w:t>
      </w:r>
      <w:r w:rsidR="00113CAD">
        <w:rPr>
          <w:rFonts w:ascii="Times New Roman" w:hAnsi="Times New Roman" w:cs="Times New Roman"/>
          <w:sz w:val="24"/>
          <w:szCs w:val="24"/>
        </w:rPr>
        <w:t xml:space="preserve"> is to</w:t>
      </w:r>
      <w:r>
        <w:rPr>
          <w:rFonts w:ascii="Times New Roman" w:hAnsi="Times New Roman" w:cs="Times New Roman"/>
          <w:sz w:val="24"/>
          <w:szCs w:val="24"/>
        </w:rPr>
        <w:t xml:space="preserve"> </w:t>
      </w:r>
      <w:r w:rsidR="00113CAD">
        <w:rPr>
          <w:rFonts w:ascii="Times New Roman" w:hAnsi="Times New Roman" w:cs="Times New Roman"/>
          <w:sz w:val="24"/>
          <w:szCs w:val="24"/>
        </w:rPr>
        <w:t xml:space="preserve">offer a new conceptualization and measurement strategy to address some of the extant problems in the </w:t>
      </w:r>
      <w:r w:rsidR="00D74666">
        <w:rPr>
          <w:rFonts w:ascii="Times New Roman" w:hAnsi="Times New Roman" w:cs="Times New Roman"/>
          <w:sz w:val="24"/>
          <w:szCs w:val="24"/>
        </w:rPr>
        <w:t xml:space="preserve">large-N quantitative IR </w:t>
      </w:r>
      <w:r w:rsidR="00113CAD">
        <w:rPr>
          <w:rFonts w:ascii="Times New Roman" w:hAnsi="Times New Roman" w:cs="Times New Roman"/>
          <w:sz w:val="24"/>
          <w:szCs w:val="24"/>
        </w:rPr>
        <w:t xml:space="preserve">literature that utilize the concept of political shocks. We proceed as follows: </w:t>
      </w:r>
      <w:r>
        <w:rPr>
          <w:rFonts w:ascii="Times New Roman" w:hAnsi="Times New Roman" w:cs="Times New Roman"/>
          <w:sz w:val="24"/>
          <w:szCs w:val="24"/>
        </w:rPr>
        <w:t xml:space="preserve">First, we provide a </w:t>
      </w:r>
      <w:r w:rsidR="001C44A3">
        <w:rPr>
          <w:rFonts w:ascii="Times New Roman" w:hAnsi="Times New Roman" w:cs="Times New Roman"/>
          <w:sz w:val="24"/>
          <w:szCs w:val="24"/>
        </w:rPr>
        <w:t xml:space="preserve">brief </w:t>
      </w:r>
      <w:r>
        <w:rPr>
          <w:rFonts w:ascii="Times New Roman" w:hAnsi="Times New Roman" w:cs="Times New Roman"/>
          <w:sz w:val="24"/>
          <w:szCs w:val="24"/>
        </w:rPr>
        <w:t xml:space="preserve">literature review of approaches to the conceptualization and the empirical identification of political shocks, along with their presumed effects. Second, we </w:t>
      </w:r>
      <w:r w:rsidR="00D63381">
        <w:rPr>
          <w:rFonts w:ascii="Times New Roman" w:hAnsi="Times New Roman" w:cs="Times New Roman"/>
          <w:sz w:val="24"/>
          <w:szCs w:val="24"/>
        </w:rPr>
        <w:t>provide</w:t>
      </w:r>
      <w:r w:rsidR="00113CAD">
        <w:rPr>
          <w:rFonts w:ascii="Times New Roman" w:hAnsi="Times New Roman" w:cs="Times New Roman"/>
          <w:sz w:val="24"/>
          <w:szCs w:val="24"/>
        </w:rPr>
        <w:t xml:space="preserve"> a new strategy to defining and measuring what we label as “actual” political shocks. </w:t>
      </w:r>
      <w:r w:rsidR="00024A84">
        <w:rPr>
          <w:rFonts w:ascii="Times New Roman" w:hAnsi="Times New Roman" w:cs="Times New Roman"/>
          <w:sz w:val="24"/>
          <w:szCs w:val="24"/>
        </w:rPr>
        <w:t xml:space="preserve">Finally, we offer </w:t>
      </w:r>
      <w:r w:rsidR="00B40A23">
        <w:rPr>
          <w:rFonts w:ascii="Times New Roman" w:hAnsi="Times New Roman" w:cs="Times New Roman"/>
          <w:sz w:val="24"/>
          <w:szCs w:val="24"/>
        </w:rPr>
        <w:t xml:space="preserve">one </w:t>
      </w:r>
      <w:r w:rsidR="00024A84">
        <w:rPr>
          <w:rFonts w:ascii="Times New Roman" w:hAnsi="Times New Roman" w:cs="Times New Roman"/>
          <w:sz w:val="24"/>
          <w:szCs w:val="24"/>
        </w:rPr>
        <w:t xml:space="preserve">illustration of </w:t>
      </w:r>
      <w:r w:rsidR="00B40A23">
        <w:rPr>
          <w:rFonts w:ascii="Times New Roman" w:hAnsi="Times New Roman" w:cs="Times New Roman"/>
          <w:sz w:val="24"/>
          <w:szCs w:val="24"/>
        </w:rPr>
        <w:t xml:space="preserve">our approach’s application. </w:t>
      </w:r>
      <w:r w:rsidR="00024A84">
        <w:rPr>
          <w:rFonts w:ascii="Times New Roman" w:hAnsi="Times New Roman" w:cs="Times New Roman"/>
          <w:sz w:val="24"/>
          <w:szCs w:val="24"/>
        </w:rPr>
        <w:t xml:space="preserve">We consider this effort as </w:t>
      </w:r>
      <w:r w:rsidR="007F480B">
        <w:rPr>
          <w:rFonts w:ascii="Times New Roman" w:hAnsi="Times New Roman" w:cs="Times New Roman"/>
          <w:sz w:val="24"/>
          <w:szCs w:val="24"/>
        </w:rPr>
        <w:t xml:space="preserve">only the first step towards a more systematic identification of political shocks and towards a better understanding of their effects on international and intrastate politics and we hope that it will </w:t>
      </w:r>
      <w:r w:rsidR="00024A84">
        <w:rPr>
          <w:rFonts w:ascii="Times New Roman" w:hAnsi="Times New Roman" w:cs="Times New Roman"/>
          <w:sz w:val="24"/>
          <w:szCs w:val="24"/>
        </w:rPr>
        <w:t xml:space="preserve">lead to </w:t>
      </w:r>
      <w:r w:rsidR="007F480B">
        <w:rPr>
          <w:rFonts w:ascii="Times New Roman" w:hAnsi="Times New Roman" w:cs="Times New Roman"/>
          <w:sz w:val="24"/>
          <w:szCs w:val="24"/>
        </w:rPr>
        <w:t xml:space="preserve">additional </w:t>
      </w:r>
      <w:r w:rsidR="00BD62C0">
        <w:rPr>
          <w:rFonts w:ascii="Times New Roman" w:hAnsi="Times New Roman" w:cs="Times New Roman"/>
          <w:sz w:val="24"/>
          <w:szCs w:val="24"/>
        </w:rPr>
        <w:t xml:space="preserve">debate, </w:t>
      </w:r>
      <w:r w:rsidR="00024A84">
        <w:rPr>
          <w:rFonts w:ascii="Times New Roman" w:hAnsi="Times New Roman" w:cs="Times New Roman"/>
          <w:sz w:val="24"/>
          <w:szCs w:val="24"/>
        </w:rPr>
        <w:t>discussion</w:t>
      </w:r>
      <w:r w:rsidR="00BD62C0">
        <w:rPr>
          <w:rFonts w:ascii="Times New Roman" w:hAnsi="Times New Roman" w:cs="Times New Roman"/>
          <w:sz w:val="24"/>
          <w:szCs w:val="24"/>
        </w:rPr>
        <w:t>,</w:t>
      </w:r>
      <w:r w:rsidR="00024A84">
        <w:rPr>
          <w:rFonts w:ascii="Times New Roman" w:hAnsi="Times New Roman" w:cs="Times New Roman"/>
          <w:sz w:val="24"/>
          <w:szCs w:val="24"/>
        </w:rPr>
        <w:t xml:space="preserve"> and more systematic analyses of this phenomenon</w:t>
      </w:r>
      <w:r w:rsidR="007F6276" w:rsidRPr="0066796F">
        <w:rPr>
          <w:rFonts w:ascii="Times New Roman" w:hAnsi="Times New Roman" w:cs="Times New Roman"/>
          <w:sz w:val="24"/>
          <w:szCs w:val="24"/>
        </w:rPr>
        <w:t xml:space="preserve"> </w:t>
      </w:r>
      <w:r w:rsidR="00024A84">
        <w:rPr>
          <w:rFonts w:ascii="Times New Roman" w:hAnsi="Times New Roman" w:cs="Times New Roman"/>
          <w:sz w:val="24"/>
          <w:szCs w:val="24"/>
        </w:rPr>
        <w:t xml:space="preserve">in </w:t>
      </w:r>
      <w:r w:rsidR="001C44A3">
        <w:rPr>
          <w:rFonts w:ascii="Times New Roman" w:hAnsi="Times New Roman" w:cs="Times New Roman"/>
          <w:sz w:val="24"/>
          <w:szCs w:val="24"/>
        </w:rPr>
        <w:t>the</w:t>
      </w:r>
      <w:r w:rsidR="00024A84">
        <w:rPr>
          <w:rFonts w:ascii="Times New Roman" w:hAnsi="Times New Roman" w:cs="Times New Roman"/>
          <w:sz w:val="24"/>
          <w:szCs w:val="24"/>
        </w:rPr>
        <w:t xml:space="preserve"> field.</w:t>
      </w:r>
    </w:p>
    <w:p w14:paraId="203BB543" w14:textId="77777777" w:rsidR="001F5F60" w:rsidRDefault="001F5F60" w:rsidP="001F5F60">
      <w:pPr>
        <w:spacing w:line="480" w:lineRule="auto"/>
        <w:rPr>
          <w:rFonts w:ascii="Times New Roman" w:hAnsi="Times New Roman" w:cs="Times New Roman"/>
          <w:b/>
          <w:bCs/>
          <w:sz w:val="24"/>
          <w:szCs w:val="24"/>
        </w:rPr>
      </w:pPr>
      <w:r w:rsidRPr="00024A84">
        <w:rPr>
          <w:rFonts w:ascii="Times New Roman" w:hAnsi="Times New Roman" w:cs="Times New Roman"/>
          <w:b/>
          <w:bCs/>
          <w:sz w:val="24"/>
          <w:szCs w:val="24"/>
        </w:rPr>
        <w:t xml:space="preserve">A </w:t>
      </w:r>
      <w:r>
        <w:rPr>
          <w:rFonts w:ascii="Times New Roman" w:hAnsi="Times New Roman" w:cs="Times New Roman"/>
          <w:b/>
          <w:bCs/>
          <w:sz w:val="24"/>
          <w:szCs w:val="24"/>
        </w:rPr>
        <w:t xml:space="preserve">Brief </w:t>
      </w:r>
      <w:r w:rsidRPr="00024A84">
        <w:rPr>
          <w:rFonts w:ascii="Times New Roman" w:hAnsi="Times New Roman" w:cs="Times New Roman"/>
          <w:b/>
          <w:bCs/>
          <w:sz w:val="24"/>
          <w:szCs w:val="24"/>
        </w:rPr>
        <w:t>Review of the Literature</w:t>
      </w:r>
    </w:p>
    <w:p w14:paraId="2DA59957" w14:textId="77777777" w:rsidR="001F5F60" w:rsidRDefault="001F5F60" w:rsidP="001F5F60">
      <w:pPr>
        <w:spacing w:line="480" w:lineRule="auto"/>
        <w:ind w:firstLine="720"/>
        <w:rPr>
          <w:rFonts w:ascii="Times New Roman" w:hAnsi="Times New Roman" w:cs="Times New Roman"/>
          <w:sz w:val="24"/>
          <w:szCs w:val="24"/>
        </w:rPr>
      </w:pPr>
      <w:r>
        <w:rPr>
          <w:rFonts w:ascii="Times New Roman" w:hAnsi="Times New Roman" w:cs="Times New Roman"/>
          <w:sz w:val="24"/>
          <w:szCs w:val="24"/>
        </w:rPr>
        <w:t>Political shocks may constitute an underdeveloped area of inquiry, but they have certainly not been ignored. A quick glance at an N-gram of mentions of political shocks in books indicates that, if anything, references to political shocks have dramatically increased over time, and especially in the post-Cold War era (Figure 1).</w:t>
      </w:r>
    </w:p>
    <w:p w14:paraId="726A9BBF" w14:textId="553B3E2D" w:rsidR="001F5F60" w:rsidRDefault="001F5F60" w:rsidP="001F5F60">
      <w:pPr>
        <w:spacing w:line="480" w:lineRule="auto"/>
        <w:rPr>
          <w:rFonts w:ascii="Times New Roman" w:hAnsi="Times New Roman" w:cs="Times New Roman"/>
          <w:sz w:val="24"/>
          <w:szCs w:val="24"/>
        </w:rPr>
      </w:pPr>
      <w:r>
        <w:rPr>
          <w:rFonts w:ascii="Times New Roman" w:hAnsi="Times New Roman" w:cs="Times New Roman"/>
          <w:sz w:val="24"/>
          <w:szCs w:val="24"/>
        </w:rPr>
        <w:tab/>
      </w:r>
      <w:r w:rsidRPr="00A17A30">
        <w:rPr>
          <w:rFonts w:ascii="Times New Roman" w:hAnsi="Times New Roman" w:cs="Times New Roman"/>
          <w:sz w:val="24"/>
          <w:szCs w:val="24"/>
        </w:rPr>
        <w:t>T</w:t>
      </w:r>
      <w:r>
        <w:rPr>
          <w:rFonts w:ascii="Times New Roman" w:hAnsi="Times New Roman" w:cs="Times New Roman"/>
          <w:sz w:val="24"/>
          <w:szCs w:val="24"/>
        </w:rPr>
        <w:t>he journals literature further underscores the general interest in political shocks. A recent survey (Gordell, 2021) across 14 academic journals,</w:t>
      </w:r>
      <w:r w:rsidRPr="0066796F">
        <w:rPr>
          <w:rStyle w:val="FootnoteReference"/>
          <w:rFonts w:ascii="Times New Roman" w:hAnsi="Times New Roman" w:cs="Times New Roman"/>
          <w:sz w:val="24"/>
          <w:szCs w:val="24"/>
        </w:rPr>
        <w:footnoteReference w:id="2"/>
      </w:r>
      <w:r w:rsidRPr="00461724">
        <w:rPr>
          <w:rFonts w:ascii="Times New Roman" w:hAnsi="Times New Roman" w:cs="Times New Roman"/>
          <w:sz w:val="24"/>
          <w:szCs w:val="24"/>
        </w:rPr>
        <w:t xml:space="preserve"> </w:t>
      </w:r>
      <w:r>
        <w:rPr>
          <w:rFonts w:ascii="Times New Roman" w:hAnsi="Times New Roman" w:cs="Times New Roman"/>
          <w:sz w:val="24"/>
          <w:szCs w:val="24"/>
        </w:rPr>
        <w:t xml:space="preserve">identifies approximately 1575 </w:t>
      </w:r>
      <w:r>
        <w:rPr>
          <w:rFonts w:ascii="Times New Roman" w:hAnsi="Times New Roman" w:cs="Times New Roman"/>
          <w:sz w:val="24"/>
          <w:szCs w:val="24"/>
        </w:rPr>
        <w:lastRenderedPageBreak/>
        <w:t>articles published between 1990 and 2020, that included the term “shock”.</w:t>
      </w:r>
      <w:r w:rsidRPr="0066796F">
        <w:rPr>
          <w:rStyle w:val="FootnoteReference"/>
          <w:rFonts w:ascii="Times New Roman" w:hAnsi="Times New Roman" w:cs="Times New Roman"/>
          <w:sz w:val="24"/>
          <w:szCs w:val="24"/>
        </w:rPr>
        <w:footnoteReference w:id="3"/>
      </w:r>
      <w:r w:rsidRPr="006679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796F">
        <w:rPr>
          <w:rFonts w:ascii="Times New Roman" w:hAnsi="Times New Roman" w:cs="Times New Roman"/>
          <w:sz w:val="24"/>
          <w:szCs w:val="24"/>
        </w:rPr>
        <w:t xml:space="preserve">Over half of these articles either casually referred to shocks or included them by default in methodological decisions (e.g., the specification of shocks via yearly fixed effects in quantitative models). </w:t>
      </w:r>
      <w:r>
        <w:rPr>
          <w:rFonts w:ascii="Times New Roman" w:hAnsi="Times New Roman" w:cs="Times New Roman"/>
          <w:sz w:val="24"/>
          <w:szCs w:val="24"/>
        </w:rPr>
        <w:t xml:space="preserve">Virtually none of these articles included a substantive discussion of the concept and are not the focus of this review. Instead, we focus on those works that </w:t>
      </w:r>
      <w:r w:rsidR="00B229B1">
        <w:rPr>
          <w:rFonts w:ascii="Times New Roman" w:hAnsi="Times New Roman" w:cs="Times New Roman"/>
          <w:sz w:val="24"/>
          <w:szCs w:val="24"/>
        </w:rPr>
        <w:t xml:space="preserve">explicitly </w:t>
      </w:r>
      <w:r w:rsidRPr="0066796F">
        <w:rPr>
          <w:rFonts w:ascii="Times New Roman" w:hAnsi="Times New Roman" w:cs="Times New Roman"/>
          <w:sz w:val="24"/>
          <w:szCs w:val="24"/>
        </w:rPr>
        <w:t>discussed political</w:t>
      </w:r>
      <w:r>
        <w:rPr>
          <w:rFonts w:ascii="Times New Roman" w:hAnsi="Times New Roman" w:cs="Times New Roman"/>
          <w:sz w:val="24"/>
          <w:szCs w:val="24"/>
        </w:rPr>
        <w:t xml:space="preserve"> </w:t>
      </w:r>
      <w:r w:rsidRPr="0066796F">
        <w:rPr>
          <w:rFonts w:ascii="Times New Roman" w:hAnsi="Times New Roman" w:cs="Times New Roman"/>
          <w:sz w:val="24"/>
          <w:szCs w:val="24"/>
        </w:rPr>
        <w:t xml:space="preserve">shocks in </w:t>
      </w:r>
      <w:r w:rsidR="00B229B1">
        <w:rPr>
          <w:rFonts w:ascii="Times New Roman" w:hAnsi="Times New Roman" w:cs="Times New Roman"/>
          <w:sz w:val="24"/>
          <w:szCs w:val="24"/>
        </w:rPr>
        <w:t xml:space="preserve">some </w:t>
      </w:r>
      <w:r w:rsidRPr="0066796F">
        <w:rPr>
          <w:rFonts w:ascii="Times New Roman" w:hAnsi="Times New Roman" w:cs="Times New Roman"/>
          <w:sz w:val="24"/>
          <w:szCs w:val="24"/>
        </w:rPr>
        <w:t>detail</w:t>
      </w:r>
      <w:r>
        <w:rPr>
          <w:rFonts w:ascii="Times New Roman" w:hAnsi="Times New Roman" w:cs="Times New Roman"/>
          <w:sz w:val="24"/>
          <w:szCs w:val="24"/>
        </w:rPr>
        <w:t xml:space="preserve">, </w:t>
      </w:r>
      <w:r w:rsidRPr="0066796F">
        <w:rPr>
          <w:rFonts w:ascii="Times New Roman" w:hAnsi="Times New Roman" w:cs="Times New Roman"/>
          <w:sz w:val="24"/>
          <w:szCs w:val="24"/>
        </w:rPr>
        <w:t xml:space="preserve">often including the elaboration of events, operationalization for empirical testing, </w:t>
      </w:r>
      <w:r>
        <w:rPr>
          <w:rFonts w:ascii="Times New Roman" w:hAnsi="Times New Roman" w:cs="Times New Roman"/>
          <w:sz w:val="24"/>
          <w:szCs w:val="24"/>
        </w:rPr>
        <w:t xml:space="preserve">and/or </w:t>
      </w:r>
      <w:r w:rsidRPr="0066796F">
        <w:rPr>
          <w:rFonts w:ascii="Times New Roman" w:hAnsi="Times New Roman" w:cs="Times New Roman"/>
          <w:sz w:val="24"/>
          <w:szCs w:val="24"/>
        </w:rPr>
        <w:t>detailed steps for process tracing among qualitative and mixed-method designs.</w:t>
      </w:r>
      <w:r w:rsidRPr="0066796F">
        <w:rPr>
          <w:rStyle w:val="FootnoteReference"/>
          <w:rFonts w:ascii="Times New Roman" w:hAnsi="Times New Roman" w:cs="Times New Roman"/>
          <w:sz w:val="24"/>
          <w:szCs w:val="24"/>
        </w:rPr>
        <w:footnoteReference w:id="4"/>
      </w:r>
      <w:r w:rsidRPr="0066796F">
        <w:rPr>
          <w:rFonts w:ascii="Times New Roman" w:hAnsi="Times New Roman" w:cs="Times New Roman"/>
          <w:sz w:val="24"/>
          <w:szCs w:val="24"/>
        </w:rPr>
        <w:t xml:space="preserve"> </w:t>
      </w:r>
    </w:p>
    <w:p w14:paraId="636A3BEF" w14:textId="77777777" w:rsidR="00B40A23" w:rsidRDefault="00B40A23" w:rsidP="00B40A23">
      <w:pPr>
        <w:rPr>
          <w:rFonts w:ascii="Times New Roman" w:hAnsi="Times New Roman" w:cs="Times New Roman"/>
          <w:b/>
          <w:bCs/>
          <w:sz w:val="24"/>
          <w:szCs w:val="24"/>
        </w:rPr>
      </w:pPr>
      <w:r w:rsidRPr="00A32DF7">
        <w:rPr>
          <w:rFonts w:ascii="Times New Roman" w:hAnsi="Times New Roman" w:cs="Times New Roman"/>
          <w:b/>
          <w:bCs/>
          <w:sz w:val="24"/>
          <w:szCs w:val="24"/>
        </w:rPr>
        <w:t>Figure 1: References to Political Shocks</w:t>
      </w:r>
      <w:r>
        <w:rPr>
          <w:rFonts w:ascii="Times New Roman" w:hAnsi="Times New Roman" w:cs="Times New Roman"/>
          <w:b/>
          <w:bCs/>
          <w:sz w:val="24"/>
          <w:szCs w:val="24"/>
        </w:rPr>
        <w:t>, 1950-2018</w:t>
      </w:r>
      <w:r w:rsidRPr="00A32DF7">
        <w:rPr>
          <w:rFonts w:ascii="Times New Roman" w:hAnsi="Times New Roman" w:cs="Times New Roman"/>
          <w:b/>
          <w:bCs/>
          <w:sz w:val="24"/>
          <w:szCs w:val="24"/>
        </w:rPr>
        <w:t xml:space="preserve"> (Source: Google N-Gram</w:t>
      </w:r>
      <w:r>
        <w:rPr>
          <w:rFonts w:ascii="Times New Roman" w:hAnsi="Times New Roman" w:cs="Times New Roman"/>
          <w:b/>
          <w:bCs/>
          <w:sz w:val="24"/>
          <w:szCs w:val="24"/>
        </w:rPr>
        <w:t>)</w:t>
      </w:r>
      <w:r w:rsidRPr="00A32DF7">
        <w:rPr>
          <w:rStyle w:val="FootnoteReference"/>
          <w:rFonts w:ascii="Times New Roman" w:hAnsi="Times New Roman" w:cs="Times New Roman"/>
          <w:b/>
          <w:bCs/>
          <w:sz w:val="24"/>
          <w:szCs w:val="24"/>
        </w:rPr>
        <w:footnoteReference w:id="5"/>
      </w:r>
      <w:r>
        <w:rPr>
          <w:rFonts w:ascii="Times New Roman" w:hAnsi="Times New Roman" w:cs="Times New Roman"/>
          <w:b/>
          <w:bCs/>
          <w:sz w:val="24"/>
          <w:szCs w:val="24"/>
        </w:rPr>
        <w:t>.</w:t>
      </w:r>
    </w:p>
    <w:p w14:paraId="418D27DC" w14:textId="7F7598D6" w:rsidR="00B40A23" w:rsidRDefault="00B40A23" w:rsidP="00BB3CCF">
      <w:pPr>
        <w:spacing w:line="480" w:lineRule="auto"/>
        <w:rPr>
          <w:rFonts w:ascii="Times New Roman" w:hAnsi="Times New Roman" w:cs="Times New Roman"/>
          <w:b/>
          <w:bCs/>
          <w:sz w:val="24"/>
          <w:szCs w:val="24"/>
        </w:rPr>
      </w:pPr>
      <w:r>
        <w:rPr>
          <w:noProof/>
        </w:rPr>
        <w:drawing>
          <wp:inline distT="0" distB="0" distL="0" distR="0" wp14:anchorId="5D75442C" wp14:editId="68788CF1">
            <wp:extent cx="5937685" cy="256032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9898" cy="2621642"/>
                    </a:xfrm>
                    <a:prstGeom prst="rect">
                      <a:avLst/>
                    </a:prstGeom>
                    <a:noFill/>
                    <a:ln>
                      <a:noFill/>
                    </a:ln>
                  </pic:spPr>
                </pic:pic>
              </a:graphicData>
            </a:graphic>
          </wp:inline>
        </w:drawing>
      </w:r>
    </w:p>
    <w:p w14:paraId="2D3407DE" w14:textId="5FB34A1F" w:rsidR="009A7D53" w:rsidRPr="009A7D53" w:rsidRDefault="009A7D53" w:rsidP="0084426B">
      <w:pPr>
        <w:spacing w:line="480" w:lineRule="auto"/>
        <w:rPr>
          <w:rFonts w:ascii="Times New Roman" w:hAnsi="Times New Roman" w:cs="Times New Roman"/>
          <w:i/>
          <w:iCs/>
          <w:sz w:val="24"/>
          <w:szCs w:val="24"/>
        </w:rPr>
      </w:pPr>
      <w:bookmarkStart w:id="0" w:name="_Hlk72602090"/>
      <w:r w:rsidRPr="009A7D53">
        <w:rPr>
          <w:rFonts w:ascii="Times New Roman" w:hAnsi="Times New Roman" w:cs="Times New Roman"/>
          <w:i/>
          <w:iCs/>
          <w:sz w:val="24"/>
          <w:szCs w:val="24"/>
        </w:rPr>
        <w:t>What is a political shock?</w:t>
      </w:r>
    </w:p>
    <w:p w14:paraId="06FCC1E2" w14:textId="77777777" w:rsidR="00B229B1" w:rsidRDefault="009A7D53" w:rsidP="0084426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bookmarkStart w:id="1" w:name="_Hlk72935363"/>
      <w:r>
        <w:rPr>
          <w:rFonts w:ascii="Times New Roman" w:hAnsi="Times New Roman" w:cs="Times New Roman"/>
          <w:sz w:val="24"/>
          <w:szCs w:val="24"/>
        </w:rPr>
        <w:t xml:space="preserve">While there is no consensus on what constitutes a political shock, there are several properties that have been identified in the literature. </w:t>
      </w:r>
      <w:r w:rsidR="008323A5">
        <w:rPr>
          <w:rFonts w:ascii="Times New Roman" w:hAnsi="Times New Roman" w:cs="Times New Roman"/>
          <w:sz w:val="24"/>
          <w:szCs w:val="24"/>
        </w:rPr>
        <w:t>N</w:t>
      </w:r>
      <w:r>
        <w:rPr>
          <w:rFonts w:ascii="Times New Roman" w:hAnsi="Times New Roman" w:cs="Times New Roman"/>
          <w:sz w:val="24"/>
          <w:szCs w:val="24"/>
        </w:rPr>
        <w:t xml:space="preserve">early all work on </w:t>
      </w:r>
      <w:r w:rsidR="00CB0335">
        <w:rPr>
          <w:rFonts w:ascii="Times New Roman" w:hAnsi="Times New Roman" w:cs="Times New Roman"/>
          <w:sz w:val="24"/>
          <w:szCs w:val="24"/>
        </w:rPr>
        <w:t>the phenomenon</w:t>
      </w:r>
      <w:r>
        <w:rPr>
          <w:rFonts w:ascii="Times New Roman" w:hAnsi="Times New Roman" w:cs="Times New Roman"/>
          <w:sz w:val="24"/>
          <w:szCs w:val="24"/>
        </w:rPr>
        <w:t xml:space="preserve"> suggests that a political shock is an </w:t>
      </w:r>
      <w:r w:rsidRPr="009A7D53">
        <w:rPr>
          <w:rFonts w:ascii="Times New Roman" w:hAnsi="Times New Roman" w:cs="Times New Roman"/>
          <w:i/>
          <w:iCs/>
          <w:sz w:val="24"/>
          <w:szCs w:val="24"/>
        </w:rPr>
        <w:t xml:space="preserve">event </w:t>
      </w:r>
      <w:r>
        <w:rPr>
          <w:rFonts w:ascii="Times New Roman" w:hAnsi="Times New Roman" w:cs="Times New Roman"/>
          <w:sz w:val="24"/>
          <w:szCs w:val="24"/>
        </w:rPr>
        <w:t xml:space="preserve">with a set of attributes. One attribute is that the event </w:t>
      </w:r>
      <w:r w:rsidR="0097592C">
        <w:rPr>
          <w:rFonts w:ascii="Times New Roman" w:hAnsi="Times New Roman" w:cs="Times New Roman"/>
          <w:sz w:val="24"/>
          <w:szCs w:val="24"/>
        </w:rPr>
        <w:t>is</w:t>
      </w:r>
      <w:r>
        <w:rPr>
          <w:rFonts w:ascii="Times New Roman" w:hAnsi="Times New Roman" w:cs="Times New Roman"/>
          <w:sz w:val="24"/>
          <w:szCs w:val="24"/>
        </w:rPr>
        <w:t xml:space="preserve"> </w:t>
      </w:r>
      <w:r w:rsidRPr="009A7D53">
        <w:rPr>
          <w:rFonts w:ascii="Times New Roman" w:hAnsi="Times New Roman" w:cs="Times New Roman"/>
          <w:i/>
          <w:iCs/>
          <w:sz w:val="24"/>
          <w:szCs w:val="24"/>
        </w:rPr>
        <w:t>unanticipated or unexpected</w:t>
      </w:r>
      <w:r>
        <w:rPr>
          <w:rFonts w:ascii="Times New Roman" w:hAnsi="Times New Roman" w:cs="Times New Roman"/>
          <w:sz w:val="24"/>
          <w:szCs w:val="24"/>
        </w:rPr>
        <w:t xml:space="preserve"> by the actors involved. Second, that the event manifests a </w:t>
      </w:r>
      <w:r w:rsidR="000A24F1" w:rsidRPr="000A24F1">
        <w:rPr>
          <w:rFonts w:ascii="Times New Roman" w:hAnsi="Times New Roman" w:cs="Times New Roman"/>
          <w:i/>
          <w:iCs/>
          <w:sz w:val="24"/>
          <w:szCs w:val="24"/>
        </w:rPr>
        <w:t>dramatic</w:t>
      </w:r>
      <w:r w:rsidR="000A24F1">
        <w:rPr>
          <w:rFonts w:ascii="Times New Roman" w:hAnsi="Times New Roman" w:cs="Times New Roman"/>
          <w:sz w:val="24"/>
          <w:szCs w:val="24"/>
        </w:rPr>
        <w:t xml:space="preserve"> </w:t>
      </w:r>
      <w:r w:rsidR="000A24F1" w:rsidRPr="000A24F1">
        <w:rPr>
          <w:rFonts w:ascii="Times New Roman" w:hAnsi="Times New Roman" w:cs="Times New Roman"/>
          <w:i/>
          <w:iCs/>
          <w:sz w:val="24"/>
          <w:szCs w:val="24"/>
        </w:rPr>
        <w:t>or major</w:t>
      </w:r>
      <w:r w:rsidR="000A24F1">
        <w:rPr>
          <w:rFonts w:ascii="Times New Roman" w:hAnsi="Times New Roman" w:cs="Times New Roman"/>
          <w:sz w:val="24"/>
          <w:szCs w:val="24"/>
        </w:rPr>
        <w:t xml:space="preserve"> </w:t>
      </w:r>
      <w:r w:rsidRPr="009A7D53">
        <w:rPr>
          <w:rFonts w:ascii="Times New Roman" w:hAnsi="Times New Roman" w:cs="Times New Roman"/>
          <w:i/>
          <w:iCs/>
          <w:sz w:val="24"/>
          <w:szCs w:val="24"/>
        </w:rPr>
        <w:t xml:space="preserve">disruption </w:t>
      </w:r>
      <w:r>
        <w:rPr>
          <w:rFonts w:ascii="Times New Roman" w:hAnsi="Times New Roman" w:cs="Times New Roman"/>
          <w:sz w:val="24"/>
          <w:szCs w:val="24"/>
        </w:rPr>
        <w:t xml:space="preserve">to current conditions. Third, that the event occurs </w:t>
      </w:r>
      <w:r w:rsidRPr="009A7D53">
        <w:rPr>
          <w:rFonts w:ascii="Times New Roman" w:hAnsi="Times New Roman" w:cs="Times New Roman"/>
          <w:i/>
          <w:iCs/>
          <w:sz w:val="24"/>
          <w:szCs w:val="24"/>
        </w:rPr>
        <w:t>suddenly</w:t>
      </w:r>
      <w:r>
        <w:rPr>
          <w:rFonts w:ascii="Times New Roman" w:hAnsi="Times New Roman" w:cs="Times New Roman"/>
          <w:sz w:val="24"/>
          <w:szCs w:val="24"/>
        </w:rPr>
        <w:t xml:space="preserve"> and thus is different from evolving or slow-moving processes of change. </w:t>
      </w:r>
    </w:p>
    <w:p w14:paraId="2C34A800" w14:textId="1AEC4306" w:rsidR="008323A5" w:rsidRDefault="00B229B1" w:rsidP="008323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Apart from these attributes most of the literature characterizes political shocks as occurring </w:t>
      </w:r>
      <w:r w:rsidR="009A7D53">
        <w:rPr>
          <w:rFonts w:ascii="Times New Roman" w:hAnsi="Times New Roman" w:cs="Times New Roman"/>
          <w:sz w:val="24"/>
          <w:szCs w:val="24"/>
        </w:rPr>
        <w:t xml:space="preserve">across </w:t>
      </w:r>
      <w:r w:rsidR="009A7D53" w:rsidRPr="00DB32B8">
        <w:rPr>
          <w:rFonts w:ascii="Times New Roman" w:hAnsi="Times New Roman" w:cs="Times New Roman"/>
          <w:i/>
          <w:iCs/>
          <w:sz w:val="24"/>
          <w:szCs w:val="24"/>
        </w:rPr>
        <w:t>all levels of analysis</w:t>
      </w:r>
      <w:r w:rsidR="009A7D53">
        <w:rPr>
          <w:rFonts w:ascii="Times New Roman" w:hAnsi="Times New Roman" w:cs="Times New Roman"/>
          <w:sz w:val="24"/>
          <w:szCs w:val="24"/>
        </w:rPr>
        <w:t>: at the systemic, regional, dyadic, or monadic levels</w:t>
      </w:r>
      <w:r w:rsidR="00B40A23">
        <w:rPr>
          <w:rFonts w:ascii="Times New Roman" w:hAnsi="Times New Roman" w:cs="Times New Roman"/>
          <w:sz w:val="24"/>
          <w:szCs w:val="24"/>
        </w:rPr>
        <w:t>, and can emanate either endogenously or exogenously (</w:t>
      </w:r>
      <w:r w:rsidR="00AD4130">
        <w:rPr>
          <w:rFonts w:ascii="Times New Roman" w:hAnsi="Times New Roman" w:cs="Times New Roman"/>
          <w:sz w:val="24"/>
          <w:szCs w:val="24"/>
        </w:rPr>
        <w:t>e.g.,</w:t>
      </w:r>
      <w:r w:rsidR="00B40A23">
        <w:rPr>
          <w:rFonts w:ascii="Times New Roman" w:hAnsi="Times New Roman" w:cs="Times New Roman"/>
          <w:sz w:val="24"/>
          <w:szCs w:val="24"/>
        </w:rPr>
        <w:t xml:space="preserve"> Goertz and Diehl 1995, Rasler 2000)</w:t>
      </w:r>
      <w:r w:rsidR="009A7D53">
        <w:rPr>
          <w:rFonts w:ascii="Times New Roman" w:hAnsi="Times New Roman" w:cs="Times New Roman"/>
          <w:sz w:val="24"/>
          <w:szCs w:val="24"/>
        </w:rPr>
        <w:t>.</w:t>
      </w:r>
      <w:r w:rsidR="00634887">
        <w:rPr>
          <w:rFonts w:ascii="Times New Roman" w:hAnsi="Times New Roman" w:cs="Times New Roman"/>
          <w:sz w:val="24"/>
          <w:szCs w:val="24"/>
        </w:rPr>
        <w:t xml:space="preserve"> </w:t>
      </w:r>
      <w:r>
        <w:rPr>
          <w:rFonts w:ascii="Times New Roman" w:hAnsi="Times New Roman" w:cs="Times New Roman"/>
          <w:sz w:val="24"/>
          <w:szCs w:val="24"/>
        </w:rPr>
        <w:t xml:space="preserve">Furthermore, there appears to be some consensus that while political shocks appear to be unique to the actors experiencing them, they appear to be </w:t>
      </w:r>
      <w:r w:rsidR="00634887" w:rsidRPr="00634887">
        <w:rPr>
          <w:rFonts w:ascii="Times New Roman" w:hAnsi="Times New Roman" w:cs="Times New Roman"/>
          <w:i/>
          <w:iCs/>
          <w:sz w:val="24"/>
          <w:szCs w:val="24"/>
        </w:rPr>
        <w:t>reasonably common occurrences</w:t>
      </w:r>
      <w:r w:rsidR="00634887">
        <w:rPr>
          <w:rFonts w:ascii="Times New Roman" w:hAnsi="Times New Roman" w:cs="Times New Roman"/>
          <w:sz w:val="24"/>
          <w:szCs w:val="24"/>
        </w:rPr>
        <w:t xml:space="preserve"> across the population of actors involved in international politics.</w:t>
      </w:r>
      <w:r w:rsidR="00634887">
        <w:rPr>
          <w:rStyle w:val="FootnoteReference"/>
          <w:rFonts w:ascii="Times New Roman" w:hAnsi="Times New Roman" w:cs="Times New Roman"/>
          <w:sz w:val="24"/>
          <w:szCs w:val="24"/>
        </w:rPr>
        <w:footnoteReference w:id="6"/>
      </w:r>
      <w:r w:rsidR="00634887">
        <w:rPr>
          <w:rFonts w:ascii="Times New Roman" w:hAnsi="Times New Roman" w:cs="Times New Roman"/>
          <w:sz w:val="24"/>
          <w:szCs w:val="24"/>
        </w:rPr>
        <w:t xml:space="preserve"> </w:t>
      </w:r>
      <w:r>
        <w:rPr>
          <w:rFonts w:ascii="Times New Roman" w:hAnsi="Times New Roman" w:cs="Times New Roman"/>
          <w:sz w:val="24"/>
          <w:szCs w:val="24"/>
        </w:rPr>
        <w:t xml:space="preserve">There is far less agreement over whether </w:t>
      </w:r>
      <w:r w:rsidR="000B4AA1">
        <w:rPr>
          <w:rFonts w:ascii="Times New Roman" w:hAnsi="Times New Roman" w:cs="Times New Roman"/>
          <w:sz w:val="24"/>
          <w:szCs w:val="24"/>
        </w:rPr>
        <w:t xml:space="preserve">political shock events can be addressed as objective or perceptual phenomena </w:t>
      </w:r>
      <w:bookmarkEnd w:id="1"/>
      <w:r w:rsidR="00322B1C">
        <w:rPr>
          <w:rFonts w:ascii="Times New Roman" w:hAnsi="Times New Roman" w:cs="Times New Roman"/>
          <w:sz w:val="24"/>
          <w:szCs w:val="24"/>
        </w:rPr>
        <w:t>(see A</w:t>
      </w:r>
      <w:r w:rsidR="00634887">
        <w:rPr>
          <w:rFonts w:ascii="Times New Roman" w:hAnsi="Times New Roman" w:cs="Times New Roman"/>
          <w:sz w:val="24"/>
          <w:szCs w:val="24"/>
        </w:rPr>
        <w:t>ppendix A for a list of various characteristics emphasized in the literature</w:t>
      </w:r>
      <w:r w:rsidR="00322B1C">
        <w:rPr>
          <w:rFonts w:ascii="Times New Roman" w:hAnsi="Times New Roman" w:cs="Times New Roman"/>
          <w:sz w:val="24"/>
          <w:szCs w:val="24"/>
        </w:rPr>
        <w:t>)</w:t>
      </w:r>
      <w:r w:rsidR="00634887">
        <w:rPr>
          <w:rFonts w:ascii="Times New Roman" w:hAnsi="Times New Roman" w:cs="Times New Roman"/>
          <w:sz w:val="24"/>
          <w:szCs w:val="24"/>
        </w:rPr>
        <w:t>.</w:t>
      </w:r>
      <w:r w:rsidR="008323A5">
        <w:rPr>
          <w:rFonts w:ascii="Times New Roman" w:hAnsi="Times New Roman" w:cs="Times New Roman"/>
          <w:sz w:val="24"/>
          <w:szCs w:val="24"/>
        </w:rPr>
        <w:t xml:space="preserve"> </w:t>
      </w:r>
      <w:bookmarkEnd w:id="0"/>
    </w:p>
    <w:p w14:paraId="1FF45D57" w14:textId="29B3F4FF" w:rsidR="00A761D5" w:rsidRDefault="008323A5" w:rsidP="008323A5">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DB32B8">
        <w:rPr>
          <w:rFonts w:ascii="Times New Roman" w:hAnsi="Times New Roman" w:cs="Times New Roman"/>
          <w:sz w:val="24"/>
          <w:szCs w:val="24"/>
        </w:rPr>
        <w:t xml:space="preserve">hat </w:t>
      </w:r>
      <w:r w:rsidR="00A761D5">
        <w:rPr>
          <w:rFonts w:ascii="Times New Roman" w:hAnsi="Times New Roman" w:cs="Times New Roman"/>
          <w:sz w:val="24"/>
          <w:szCs w:val="24"/>
        </w:rPr>
        <w:t>types</w:t>
      </w:r>
      <w:r w:rsidR="00DB32B8">
        <w:rPr>
          <w:rFonts w:ascii="Times New Roman" w:hAnsi="Times New Roman" w:cs="Times New Roman"/>
          <w:sz w:val="24"/>
          <w:szCs w:val="24"/>
        </w:rPr>
        <w:t xml:space="preserve"> of events are classified </w:t>
      </w:r>
      <w:r w:rsidR="00A761D5">
        <w:rPr>
          <w:rFonts w:ascii="Times New Roman" w:hAnsi="Times New Roman" w:cs="Times New Roman"/>
          <w:sz w:val="24"/>
          <w:szCs w:val="24"/>
        </w:rPr>
        <w:t xml:space="preserve">in the literature </w:t>
      </w:r>
      <w:r w:rsidR="00DB32B8">
        <w:rPr>
          <w:rFonts w:ascii="Times New Roman" w:hAnsi="Times New Roman" w:cs="Times New Roman"/>
          <w:sz w:val="24"/>
          <w:szCs w:val="24"/>
        </w:rPr>
        <w:t>as political shocks? Table 1, while not an exhaustive list of authors or types, provides an illustrative snapshot</w:t>
      </w:r>
      <w:r w:rsidR="008F793C">
        <w:rPr>
          <w:rFonts w:ascii="Times New Roman" w:hAnsi="Times New Roman" w:cs="Times New Roman"/>
          <w:sz w:val="24"/>
          <w:szCs w:val="24"/>
        </w:rPr>
        <w:t xml:space="preserve"> from the literature regarding </w:t>
      </w:r>
      <w:r w:rsidR="00DB32B8">
        <w:rPr>
          <w:rFonts w:ascii="Times New Roman" w:hAnsi="Times New Roman" w:cs="Times New Roman"/>
          <w:sz w:val="24"/>
          <w:szCs w:val="24"/>
        </w:rPr>
        <w:t>the range of events</w:t>
      </w:r>
      <w:r w:rsidR="008F793C">
        <w:rPr>
          <w:rFonts w:ascii="Times New Roman" w:hAnsi="Times New Roman" w:cs="Times New Roman"/>
          <w:sz w:val="24"/>
          <w:szCs w:val="24"/>
        </w:rPr>
        <w:t xml:space="preserve"> that are labeled as political shocks.</w:t>
      </w:r>
      <w:r w:rsidR="002E112F">
        <w:rPr>
          <w:rFonts w:ascii="Times New Roman" w:hAnsi="Times New Roman" w:cs="Times New Roman"/>
          <w:sz w:val="24"/>
          <w:szCs w:val="24"/>
        </w:rPr>
        <w:t xml:space="preserve"> </w:t>
      </w:r>
    </w:p>
    <w:p w14:paraId="77CAAFE7" w14:textId="77777777" w:rsidR="00AD4130" w:rsidRDefault="00AD4130" w:rsidP="008323A5">
      <w:pPr>
        <w:spacing w:line="480" w:lineRule="auto"/>
        <w:ind w:firstLine="720"/>
        <w:rPr>
          <w:rFonts w:ascii="Times New Roman" w:hAnsi="Times New Roman"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1163"/>
        <w:gridCol w:w="4948"/>
      </w:tblGrid>
      <w:tr w:rsidR="002E112F" w:rsidRPr="002E112F" w14:paraId="2E278492" w14:textId="77777777" w:rsidTr="00D7716F">
        <w:trPr>
          <w:trHeight w:val="432"/>
        </w:trPr>
        <w:tc>
          <w:tcPr>
            <w:tcW w:w="5000" w:type="pct"/>
            <w:gridSpan w:val="3"/>
            <w:tcBorders>
              <w:bottom w:val="single" w:sz="4" w:space="0" w:color="auto"/>
            </w:tcBorders>
          </w:tcPr>
          <w:p w14:paraId="4949C56B" w14:textId="148B1BA6" w:rsidR="002E112F" w:rsidRPr="002E112F" w:rsidRDefault="002E112F" w:rsidP="002E112F">
            <w:pPr>
              <w:keepNext/>
              <w:rPr>
                <w:rFonts w:ascii="Times New Roman" w:hAnsi="Times New Roman" w:cs="Times New Roman"/>
                <w:b/>
                <w:bCs/>
                <w:sz w:val="24"/>
                <w:szCs w:val="24"/>
              </w:rPr>
            </w:pPr>
            <w:bookmarkStart w:id="2" w:name="_Hlk70525241"/>
            <w:r w:rsidRPr="002E112F">
              <w:rPr>
                <w:rFonts w:ascii="Times New Roman" w:hAnsi="Times New Roman" w:cs="Times New Roman"/>
                <w:b/>
                <w:bCs/>
                <w:sz w:val="24"/>
                <w:szCs w:val="24"/>
              </w:rPr>
              <w:lastRenderedPageBreak/>
              <w:t>Table 1: Examples of Events Considered to be Political Shocks in International Relations Research.</w:t>
            </w:r>
          </w:p>
        </w:tc>
      </w:tr>
      <w:tr w:rsidR="002E112F" w:rsidRPr="002E112F" w14:paraId="63354A4F" w14:textId="77777777" w:rsidTr="00D7716F">
        <w:trPr>
          <w:trHeight w:val="432"/>
        </w:trPr>
        <w:tc>
          <w:tcPr>
            <w:tcW w:w="1736" w:type="pct"/>
            <w:tcBorders>
              <w:top w:val="single" w:sz="4" w:space="0" w:color="auto"/>
              <w:bottom w:val="single" w:sz="4" w:space="0" w:color="auto"/>
            </w:tcBorders>
            <w:vAlign w:val="center"/>
          </w:tcPr>
          <w:p w14:paraId="3D15A1B1" w14:textId="77777777" w:rsidR="002E112F" w:rsidRPr="002E112F" w:rsidRDefault="002E112F" w:rsidP="002E112F">
            <w:pPr>
              <w:spacing w:line="276" w:lineRule="auto"/>
              <w:jc w:val="center"/>
              <w:rPr>
                <w:rFonts w:ascii="Times New Roman" w:hAnsi="Times New Roman" w:cs="Times New Roman"/>
                <w:b/>
                <w:bCs/>
                <w:sz w:val="20"/>
                <w:szCs w:val="20"/>
                <w:highlight w:val="yellow"/>
              </w:rPr>
            </w:pPr>
            <w:r w:rsidRPr="002E112F">
              <w:rPr>
                <w:rFonts w:ascii="Times New Roman" w:hAnsi="Times New Roman" w:cs="Times New Roman"/>
                <w:b/>
                <w:bCs/>
                <w:sz w:val="20"/>
                <w:szCs w:val="20"/>
              </w:rPr>
              <w:t>General Topics:</w:t>
            </w:r>
          </w:p>
        </w:tc>
        <w:tc>
          <w:tcPr>
            <w:tcW w:w="621" w:type="pct"/>
            <w:tcBorders>
              <w:top w:val="single" w:sz="4" w:space="0" w:color="auto"/>
              <w:bottom w:val="single" w:sz="4" w:space="0" w:color="auto"/>
            </w:tcBorders>
            <w:vAlign w:val="center"/>
          </w:tcPr>
          <w:p w14:paraId="01E8D62D" w14:textId="77777777" w:rsidR="002E112F" w:rsidRPr="002E112F" w:rsidRDefault="002E112F" w:rsidP="002E112F">
            <w:pPr>
              <w:spacing w:line="276" w:lineRule="auto"/>
              <w:jc w:val="center"/>
              <w:rPr>
                <w:rFonts w:ascii="Times New Roman" w:hAnsi="Times New Roman" w:cs="Times New Roman"/>
                <w:b/>
                <w:bCs/>
                <w:sz w:val="20"/>
                <w:szCs w:val="20"/>
                <w:highlight w:val="yellow"/>
              </w:rPr>
            </w:pPr>
          </w:p>
        </w:tc>
        <w:tc>
          <w:tcPr>
            <w:tcW w:w="2643" w:type="pct"/>
            <w:tcBorders>
              <w:top w:val="single" w:sz="4" w:space="0" w:color="auto"/>
              <w:bottom w:val="single" w:sz="4" w:space="0" w:color="auto"/>
            </w:tcBorders>
            <w:vAlign w:val="center"/>
          </w:tcPr>
          <w:p w14:paraId="5C6D2BC7" w14:textId="1C205214" w:rsidR="002E112F" w:rsidRPr="002E112F" w:rsidRDefault="002E112F" w:rsidP="002E112F">
            <w:pPr>
              <w:spacing w:line="276" w:lineRule="auto"/>
              <w:jc w:val="center"/>
              <w:rPr>
                <w:rFonts w:ascii="Times New Roman" w:hAnsi="Times New Roman" w:cs="Times New Roman"/>
                <w:b/>
                <w:bCs/>
                <w:sz w:val="20"/>
                <w:szCs w:val="20"/>
                <w:highlight w:val="yellow"/>
              </w:rPr>
            </w:pPr>
            <w:r w:rsidRPr="002E112F">
              <w:rPr>
                <w:rFonts w:ascii="Times New Roman" w:hAnsi="Times New Roman" w:cs="Times New Roman"/>
                <w:b/>
                <w:bCs/>
                <w:sz w:val="20"/>
                <w:szCs w:val="20"/>
              </w:rPr>
              <w:t>Sample Citations:</w:t>
            </w:r>
            <w:r w:rsidR="00983063">
              <w:rPr>
                <w:rStyle w:val="FootnoteReference"/>
                <w:rFonts w:ascii="Times New Roman" w:hAnsi="Times New Roman" w:cs="Times New Roman"/>
                <w:b/>
                <w:bCs/>
                <w:sz w:val="20"/>
                <w:szCs w:val="20"/>
              </w:rPr>
              <w:footnoteReference w:id="7"/>
            </w:r>
          </w:p>
        </w:tc>
      </w:tr>
      <w:tr w:rsidR="002E112F" w:rsidRPr="002E112F" w14:paraId="60EC40A5" w14:textId="77777777" w:rsidTr="00D7716F">
        <w:trPr>
          <w:trHeight w:val="288"/>
        </w:trPr>
        <w:tc>
          <w:tcPr>
            <w:tcW w:w="1736" w:type="pct"/>
            <w:tcBorders>
              <w:top w:val="single" w:sz="4" w:space="0" w:color="auto"/>
              <w:bottom w:val="single" w:sz="4" w:space="0" w:color="auto"/>
            </w:tcBorders>
            <w:vAlign w:val="center"/>
          </w:tcPr>
          <w:p w14:paraId="0E70A174" w14:textId="77777777" w:rsidR="002E112F" w:rsidRPr="002E112F" w:rsidRDefault="002E112F" w:rsidP="002E112F">
            <w:pPr>
              <w:rPr>
                <w:rFonts w:ascii="Times New Roman" w:hAnsi="Times New Roman" w:cs="Times New Roman"/>
                <w:b/>
                <w:bCs/>
                <w:sz w:val="20"/>
                <w:szCs w:val="20"/>
              </w:rPr>
            </w:pPr>
            <w:r w:rsidRPr="002E112F">
              <w:rPr>
                <w:rFonts w:ascii="Times New Roman" w:hAnsi="Times New Roman" w:cs="Times New Roman"/>
                <w:b/>
                <w:bCs/>
                <w:sz w:val="20"/>
                <w:szCs w:val="20"/>
              </w:rPr>
              <w:t>Conflict &amp; Violence</w:t>
            </w:r>
          </w:p>
        </w:tc>
        <w:tc>
          <w:tcPr>
            <w:tcW w:w="621" w:type="pct"/>
            <w:tcBorders>
              <w:top w:val="single" w:sz="4" w:space="0" w:color="auto"/>
              <w:bottom w:val="single" w:sz="4" w:space="0" w:color="auto"/>
            </w:tcBorders>
            <w:vAlign w:val="center"/>
          </w:tcPr>
          <w:p w14:paraId="11EE9012" w14:textId="77777777" w:rsidR="002E112F" w:rsidRPr="002E112F" w:rsidRDefault="002E112F" w:rsidP="002E112F">
            <w:pPr>
              <w:ind w:left="720"/>
              <w:rPr>
                <w:rFonts w:ascii="Times New Roman" w:hAnsi="Times New Roman" w:cs="Times New Roman"/>
                <w:b/>
                <w:bCs/>
                <w:sz w:val="20"/>
                <w:szCs w:val="20"/>
              </w:rPr>
            </w:pPr>
          </w:p>
        </w:tc>
        <w:tc>
          <w:tcPr>
            <w:tcW w:w="2643" w:type="pct"/>
            <w:tcBorders>
              <w:top w:val="single" w:sz="4" w:space="0" w:color="auto"/>
              <w:bottom w:val="single" w:sz="4" w:space="0" w:color="auto"/>
            </w:tcBorders>
            <w:vAlign w:val="center"/>
          </w:tcPr>
          <w:p w14:paraId="0819CD79" w14:textId="77777777" w:rsidR="002E112F" w:rsidRPr="002E112F" w:rsidRDefault="002E112F" w:rsidP="002E112F">
            <w:pPr>
              <w:ind w:left="720"/>
              <w:rPr>
                <w:rFonts w:ascii="Times New Roman" w:hAnsi="Times New Roman" w:cs="Times New Roman"/>
                <w:b/>
                <w:bCs/>
                <w:sz w:val="20"/>
                <w:szCs w:val="20"/>
              </w:rPr>
            </w:pPr>
          </w:p>
        </w:tc>
      </w:tr>
      <w:tr w:rsidR="002E112F" w:rsidRPr="002E112F" w14:paraId="52B4D675" w14:textId="77777777" w:rsidTr="00D7716F">
        <w:trPr>
          <w:trHeight w:val="432"/>
        </w:trPr>
        <w:tc>
          <w:tcPr>
            <w:tcW w:w="2357" w:type="pct"/>
            <w:gridSpan w:val="2"/>
            <w:tcBorders>
              <w:top w:val="single" w:sz="4" w:space="0" w:color="auto"/>
            </w:tcBorders>
            <w:vAlign w:val="center"/>
          </w:tcPr>
          <w:p w14:paraId="6278E1CA" w14:textId="77777777" w:rsidR="002E112F" w:rsidRPr="002E112F" w:rsidRDefault="002E112F" w:rsidP="002E112F">
            <w:pPr>
              <w:ind w:left="350"/>
              <w:rPr>
                <w:rFonts w:ascii="Times New Roman" w:hAnsi="Times New Roman" w:cs="Times New Roman"/>
                <w:sz w:val="20"/>
                <w:szCs w:val="20"/>
              </w:rPr>
            </w:pPr>
            <w:r w:rsidRPr="002E112F">
              <w:rPr>
                <w:rFonts w:ascii="Times New Roman" w:hAnsi="Times New Roman" w:cs="Times New Roman"/>
                <w:sz w:val="20"/>
                <w:szCs w:val="20"/>
              </w:rPr>
              <w:t>General reference</w:t>
            </w:r>
          </w:p>
        </w:tc>
        <w:tc>
          <w:tcPr>
            <w:tcW w:w="2643" w:type="pct"/>
            <w:tcBorders>
              <w:top w:val="single" w:sz="4" w:space="0" w:color="auto"/>
            </w:tcBorders>
            <w:vAlign w:val="center"/>
          </w:tcPr>
          <w:p w14:paraId="527AF925" w14:textId="77777777" w:rsidR="002E112F" w:rsidRPr="002E112F" w:rsidRDefault="002E112F" w:rsidP="002E112F">
            <w:pPr>
              <w:rPr>
                <w:rFonts w:ascii="Times New Roman" w:hAnsi="Times New Roman" w:cs="Times New Roman"/>
                <w:sz w:val="20"/>
                <w:szCs w:val="20"/>
              </w:rPr>
            </w:pPr>
            <w:r w:rsidRPr="002E112F">
              <w:rPr>
                <w:rFonts w:ascii="Times New Roman" w:hAnsi="Times New Roman" w:cs="Times New Roman"/>
                <w:sz w:val="20"/>
                <w:szCs w:val="20"/>
              </w:rPr>
              <w:t>Reuveny &amp; Li (2003)</w:t>
            </w:r>
          </w:p>
        </w:tc>
      </w:tr>
      <w:tr w:rsidR="002E112F" w:rsidRPr="002E112F" w14:paraId="54346936" w14:textId="77777777" w:rsidTr="00D7716F">
        <w:trPr>
          <w:trHeight w:val="576"/>
        </w:trPr>
        <w:tc>
          <w:tcPr>
            <w:tcW w:w="2357" w:type="pct"/>
            <w:gridSpan w:val="2"/>
            <w:vAlign w:val="center"/>
          </w:tcPr>
          <w:p w14:paraId="7E94346C" w14:textId="77777777" w:rsidR="002E112F" w:rsidRPr="002E112F" w:rsidRDefault="002E112F" w:rsidP="002E112F">
            <w:pPr>
              <w:ind w:left="350"/>
              <w:rPr>
                <w:rFonts w:ascii="Times New Roman" w:hAnsi="Times New Roman" w:cs="Times New Roman"/>
                <w:sz w:val="20"/>
                <w:szCs w:val="20"/>
              </w:rPr>
            </w:pPr>
            <w:r w:rsidRPr="002E112F">
              <w:rPr>
                <w:rFonts w:ascii="Times New Roman" w:hAnsi="Times New Roman" w:cs="Times New Roman"/>
                <w:sz w:val="20"/>
                <w:szCs w:val="20"/>
              </w:rPr>
              <w:t>Battle dynamics</w:t>
            </w:r>
          </w:p>
          <w:p w14:paraId="16ABFEFC" w14:textId="77777777" w:rsidR="002E112F" w:rsidRPr="002E112F" w:rsidRDefault="002E112F" w:rsidP="002E112F">
            <w:pPr>
              <w:ind w:left="530"/>
              <w:rPr>
                <w:rFonts w:ascii="Times New Roman" w:hAnsi="Times New Roman" w:cs="Times New Roman"/>
                <w:sz w:val="20"/>
                <w:szCs w:val="20"/>
              </w:rPr>
            </w:pPr>
            <w:r w:rsidRPr="002E112F">
              <w:rPr>
                <w:rFonts w:ascii="Times New Roman" w:hAnsi="Times New Roman" w:cs="Times New Roman"/>
                <w:sz w:val="20"/>
                <w:szCs w:val="20"/>
              </w:rPr>
              <w:t xml:space="preserve">Military defeat </w:t>
            </w:r>
          </w:p>
          <w:p w14:paraId="5F61C4D0" w14:textId="77777777" w:rsidR="002E112F" w:rsidRPr="002E112F" w:rsidRDefault="002E112F" w:rsidP="002E112F">
            <w:pPr>
              <w:ind w:left="530"/>
              <w:rPr>
                <w:rFonts w:ascii="Times New Roman" w:hAnsi="Times New Roman" w:cs="Times New Roman"/>
                <w:sz w:val="20"/>
                <w:szCs w:val="20"/>
              </w:rPr>
            </w:pPr>
            <w:r w:rsidRPr="002E112F">
              <w:rPr>
                <w:rFonts w:ascii="Times New Roman" w:hAnsi="Times New Roman" w:cs="Times New Roman"/>
                <w:sz w:val="20"/>
                <w:szCs w:val="20"/>
              </w:rPr>
              <w:t>unexpected losses/wins</w:t>
            </w:r>
          </w:p>
        </w:tc>
        <w:tc>
          <w:tcPr>
            <w:tcW w:w="2643" w:type="pct"/>
            <w:vAlign w:val="center"/>
          </w:tcPr>
          <w:p w14:paraId="44C85367" w14:textId="77777777" w:rsidR="002E112F" w:rsidRPr="002E112F" w:rsidRDefault="002E112F" w:rsidP="002E112F">
            <w:pPr>
              <w:rPr>
                <w:rFonts w:ascii="Times New Roman" w:hAnsi="Times New Roman" w:cs="Times New Roman"/>
                <w:sz w:val="20"/>
                <w:szCs w:val="20"/>
              </w:rPr>
            </w:pPr>
            <w:r w:rsidRPr="002E112F">
              <w:rPr>
                <w:rFonts w:ascii="Times New Roman" w:hAnsi="Times New Roman" w:cs="Times New Roman"/>
                <w:sz w:val="20"/>
                <w:szCs w:val="20"/>
              </w:rPr>
              <w:t>Lavelle (2011); Maoz (2009); Verdier (1998)</w:t>
            </w:r>
          </w:p>
        </w:tc>
      </w:tr>
      <w:tr w:rsidR="002E112F" w:rsidRPr="002E112F" w14:paraId="3C1F6060" w14:textId="77777777" w:rsidTr="00D7716F">
        <w:trPr>
          <w:trHeight w:val="288"/>
        </w:trPr>
        <w:tc>
          <w:tcPr>
            <w:tcW w:w="2357" w:type="pct"/>
            <w:gridSpan w:val="2"/>
            <w:vAlign w:val="center"/>
          </w:tcPr>
          <w:p w14:paraId="79B531CD" w14:textId="77777777" w:rsidR="002E112F" w:rsidRPr="002E112F" w:rsidRDefault="002E112F" w:rsidP="002E112F">
            <w:pPr>
              <w:ind w:left="350"/>
              <w:rPr>
                <w:rFonts w:ascii="Times New Roman" w:hAnsi="Times New Roman" w:cs="Times New Roman"/>
                <w:sz w:val="20"/>
                <w:szCs w:val="20"/>
              </w:rPr>
            </w:pPr>
            <w:r w:rsidRPr="002E112F">
              <w:rPr>
                <w:rFonts w:ascii="Times New Roman" w:hAnsi="Times New Roman" w:cs="Times New Roman"/>
                <w:sz w:val="20"/>
                <w:szCs w:val="20"/>
              </w:rPr>
              <w:t>Interstate/Intrastate War</w:t>
            </w:r>
          </w:p>
          <w:p w14:paraId="374488F9" w14:textId="77777777" w:rsidR="002E112F" w:rsidRPr="002E112F" w:rsidRDefault="002E112F" w:rsidP="002E112F">
            <w:pPr>
              <w:ind w:left="428"/>
              <w:rPr>
                <w:rFonts w:ascii="Times New Roman" w:hAnsi="Times New Roman" w:cs="Times New Roman"/>
                <w:sz w:val="20"/>
                <w:szCs w:val="20"/>
              </w:rPr>
            </w:pPr>
            <w:r w:rsidRPr="002E112F">
              <w:rPr>
                <w:rFonts w:ascii="Times New Roman" w:hAnsi="Times New Roman" w:cs="Times New Roman"/>
                <w:sz w:val="20"/>
                <w:szCs w:val="20"/>
              </w:rPr>
              <w:t>Civil War</w:t>
            </w:r>
          </w:p>
          <w:p w14:paraId="5B4789E7" w14:textId="77777777" w:rsidR="002E112F" w:rsidRPr="002E112F" w:rsidRDefault="002E112F" w:rsidP="002E112F">
            <w:pPr>
              <w:ind w:left="428"/>
              <w:rPr>
                <w:rFonts w:ascii="Times New Roman" w:hAnsi="Times New Roman" w:cs="Times New Roman"/>
                <w:sz w:val="20"/>
                <w:szCs w:val="20"/>
              </w:rPr>
            </w:pPr>
            <w:r w:rsidRPr="002E112F">
              <w:rPr>
                <w:rFonts w:ascii="Times New Roman" w:hAnsi="Times New Roman" w:cs="Times New Roman"/>
                <w:sz w:val="20"/>
                <w:szCs w:val="20"/>
              </w:rPr>
              <w:t>Wars (in general)</w:t>
            </w:r>
          </w:p>
          <w:p w14:paraId="62824DC4" w14:textId="77777777" w:rsidR="002E112F" w:rsidRPr="002E112F" w:rsidRDefault="002E112F" w:rsidP="002E112F">
            <w:pPr>
              <w:ind w:left="428"/>
              <w:rPr>
                <w:rFonts w:ascii="Times New Roman" w:hAnsi="Times New Roman" w:cs="Times New Roman"/>
                <w:sz w:val="20"/>
                <w:szCs w:val="20"/>
              </w:rPr>
            </w:pPr>
            <w:r w:rsidRPr="002E112F">
              <w:rPr>
                <w:rFonts w:ascii="Times New Roman" w:hAnsi="Times New Roman" w:cs="Times New Roman"/>
                <w:sz w:val="20"/>
                <w:szCs w:val="20"/>
              </w:rPr>
              <w:t>World War I/II</w:t>
            </w:r>
          </w:p>
        </w:tc>
        <w:tc>
          <w:tcPr>
            <w:tcW w:w="2643" w:type="pct"/>
            <w:vAlign w:val="center"/>
          </w:tcPr>
          <w:p w14:paraId="3BEE32CB" w14:textId="77777777" w:rsidR="002E112F" w:rsidRPr="002E112F" w:rsidRDefault="002E112F" w:rsidP="002E112F">
            <w:pPr>
              <w:rPr>
                <w:rFonts w:ascii="Times New Roman" w:hAnsi="Times New Roman" w:cs="Times New Roman"/>
                <w:sz w:val="20"/>
                <w:szCs w:val="20"/>
              </w:rPr>
            </w:pPr>
            <w:r w:rsidRPr="002E112F">
              <w:rPr>
                <w:rFonts w:ascii="Times New Roman" w:hAnsi="Times New Roman" w:cs="Times New Roman"/>
                <w:sz w:val="20"/>
                <w:szCs w:val="20"/>
              </w:rPr>
              <w:t>Bruck et al. (2012); Carson et al. (2011); Collins (2007); Finkel (2015); Fordham &amp; Kleinberg (2012); Goertz &amp; Diehl (1995); Hegre et al. (2017); Holmes &amp; Traven (2015); Iversen &amp; Soskice (2009); Kang &amp; Meernik (2005); King &amp; Lieberman (2009); Krebs (2015); Maoz &amp; Siverson (2008); Morey (2011); Sears &amp; Funk (1999); Sinha (2018); Streeck &amp; Thelen (2005); Thies (2004); White (2017)</w:t>
            </w:r>
          </w:p>
        </w:tc>
      </w:tr>
      <w:tr w:rsidR="002E112F" w:rsidRPr="002E112F" w14:paraId="7516005E" w14:textId="77777777" w:rsidTr="00D7716F">
        <w:trPr>
          <w:trHeight w:val="394"/>
        </w:trPr>
        <w:tc>
          <w:tcPr>
            <w:tcW w:w="2357" w:type="pct"/>
            <w:gridSpan w:val="2"/>
            <w:shd w:val="clear" w:color="auto" w:fill="auto"/>
            <w:vAlign w:val="center"/>
          </w:tcPr>
          <w:p w14:paraId="1AC1196B" w14:textId="77777777" w:rsidR="002E112F" w:rsidRPr="002E112F" w:rsidRDefault="002E112F" w:rsidP="002E112F">
            <w:pPr>
              <w:ind w:left="350"/>
              <w:rPr>
                <w:rFonts w:ascii="Times New Roman" w:hAnsi="Times New Roman" w:cs="Times New Roman"/>
                <w:sz w:val="20"/>
                <w:szCs w:val="20"/>
              </w:rPr>
            </w:pPr>
            <w:r w:rsidRPr="002E112F">
              <w:rPr>
                <w:rFonts w:ascii="Times New Roman" w:hAnsi="Times New Roman" w:cs="Times New Roman"/>
                <w:sz w:val="20"/>
                <w:szCs w:val="20"/>
              </w:rPr>
              <w:t>Militarized Interstate Disputes (MIDs)</w:t>
            </w:r>
          </w:p>
        </w:tc>
        <w:tc>
          <w:tcPr>
            <w:tcW w:w="2643" w:type="pct"/>
            <w:vAlign w:val="center"/>
          </w:tcPr>
          <w:p w14:paraId="7CF8EFD7" w14:textId="77777777" w:rsidR="002E112F" w:rsidRPr="002E112F" w:rsidRDefault="002E112F" w:rsidP="002E112F">
            <w:pPr>
              <w:rPr>
                <w:rFonts w:ascii="Times New Roman" w:hAnsi="Times New Roman" w:cs="Times New Roman"/>
                <w:sz w:val="20"/>
                <w:szCs w:val="20"/>
              </w:rPr>
            </w:pPr>
            <w:r w:rsidRPr="002E112F">
              <w:rPr>
                <w:rFonts w:ascii="Times New Roman" w:hAnsi="Times New Roman" w:cs="Times New Roman"/>
                <w:sz w:val="20"/>
                <w:szCs w:val="20"/>
              </w:rPr>
              <w:t>Arbatli &amp; Arbatli (2014); Crescenzi &amp; Enterline (2001); Crescenzi et al. (2008); Rooney (2018)</w:t>
            </w:r>
          </w:p>
        </w:tc>
      </w:tr>
      <w:tr w:rsidR="002E112F" w:rsidRPr="002E112F" w14:paraId="715F7072" w14:textId="77777777" w:rsidTr="00D7716F">
        <w:trPr>
          <w:trHeight w:val="394"/>
        </w:trPr>
        <w:tc>
          <w:tcPr>
            <w:tcW w:w="2357" w:type="pct"/>
            <w:gridSpan w:val="2"/>
            <w:shd w:val="clear" w:color="auto" w:fill="auto"/>
            <w:vAlign w:val="center"/>
          </w:tcPr>
          <w:p w14:paraId="6818FA53" w14:textId="77777777" w:rsidR="002E112F" w:rsidRPr="002E112F" w:rsidRDefault="002E112F" w:rsidP="002E112F">
            <w:pPr>
              <w:ind w:left="350"/>
              <w:rPr>
                <w:rFonts w:ascii="Times New Roman" w:hAnsi="Times New Roman" w:cs="Times New Roman"/>
                <w:sz w:val="20"/>
                <w:szCs w:val="20"/>
              </w:rPr>
            </w:pPr>
            <w:r w:rsidRPr="002E112F">
              <w:rPr>
                <w:rFonts w:ascii="Times New Roman" w:hAnsi="Times New Roman" w:cs="Times New Roman"/>
                <w:sz w:val="20"/>
                <w:szCs w:val="20"/>
              </w:rPr>
              <w:t>Terrorism</w:t>
            </w:r>
          </w:p>
          <w:p w14:paraId="21483CD0" w14:textId="77777777" w:rsidR="002E112F" w:rsidRPr="002E112F" w:rsidRDefault="002E112F" w:rsidP="002E112F">
            <w:pPr>
              <w:ind w:left="530"/>
              <w:rPr>
                <w:rFonts w:ascii="Times New Roman" w:hAnsi="Times New Roman" w:cs="Times New Roman"/>
                <w:sz w:val="20"/>
                <w:szCs w:val="20"/>
              </w:rPr>
            </w:pPr>
            <w:r w:rsidRPr="002E112F">
              <w:rPr>
                <w:rFonts w:ascii="Times New Roman" w:hAnsi="Times New Roman" w:cs="Times New Roman"/>
                <w:sz w:val="20"/>
                <w:szCs w:val="20"/>
              </w:rPr>
              <w:t>General reference</w:t>
            </w:r>
          </w:p>
          <w:p w14:paraId="6B51B84C" w14:textId="77777777" w:rsidR="002E112F" w:rsidRPr="002E112F" w:rsidRDefault="002E112F" w:rsidP="002E112F">
            <w:pPr>
              <w:ind w:left="530"/>
              <w:rPr>
                <w:rFonts w:ascii="Times New Roman" w:hAnsi="Times New Roman" w:cs="Times New Roman"/>
                <w:sz w:val="20"/>
                <w:szCs w:val="20"/>
              </w:rPr>
            </w:pPr>
            <w:r w:rsidRPr="002E112F">
              <w:rPr>
                <w:rFonts w:ascii="Times New Roman" w:hAnsi="Times New Roman" w:cs="Times New Roman"/>
                <w:sz w:val="20"/>
                <w:szCs w:val="20"/>
              </w:rPr>
              <w:t>Specific events; 9/11 attacks</w:t>
            </w:r>
          </w:p>
        </w:tc>
        <w:tc>
          <w:tcPr>
            <w:tcW w:w="2643" w:type="pct"/>
            <w:vAlign w:val="center"/>
          </w:tcPr>
          <w:p w14:paraId="3918396A" w14:textId="77777777" w:rsidR="002E112F" w:rsidRPr="002E112F" w:rsidRDefault="002E112F" w:rsidP="002E112F">
            <w:pPr>
              <w:rPr>
                <w:rFonts w:ascii="Times New Roman" w:hAnsi="Times New Roman" w:cs="Times New Roman"/>
                <w:sz w:val="20"/>
                <w:szCs w:val="20"/>
              </w:rPr>
            </w:pPr>
            <w:r w:rsidRPr="002E112F">
              <w:rPr>
                <w:rFonts w:ascii="Times New Roman" w:hAnsi="Times New Roman" w:cs="Times New Roman"/>
                <w:sz w:val="20"/>
                <w:szCs w:val="20"/>
              </w:rPr>
              <w:t>Byman &amp; Kroenig (2016); Koch (2009); Larsen et al. (2019); Snyder et al. (2009)</w:t>
            </w:r>
          </w:p>
        </w:tc>
      </w:tr>
      <w:tr w:rsidR="002E112F" w:rsidRPr="002E112F" w14:paraId="0E64F7BA" w14:textId="77777777" w:rsidTr="00D7716F">
        <w:trPr>
          <w:trHeight w:val="394"/>
        </w:trPr>
        <w:tc>
          <w:tcPr>
            <w:tcW w:w="2357" w:type="pct"/>
            <w:gridSpan w:val="2"/>
            <w:shd w:val="clear" w:color="auto" w:fill="auto"/>
            <w:vAlign w:val="center"/>
          </w:tcPr>
          <w:p w14:paraId="7569B68E" w14:textId="77777777" w:rsidR="002E112F" w:rsidRPr="002E112F" w:rsidRDefault="002E112F" w:rsidP="002E112F">
            <w:pPr>
              <w:ind w:left="350"/>
              <w:rPr>
                <w:rFonts w:ascii="Times New Roman" w:hAnsi="Times New Roman" w:cs="Times New Roman"/>
                <w:sz w:val="20"/>
                <w:szCs w:val="20"/>
              </w:rPr>
            </w:pPr>
            <w:r w:rsidRPr="002E112F">
              <w:rPr>
                <w:rFonts w:ascii="Times New Roman" w:hAnsi="Times New Roman" w:cs="Times New Roman"/>
                <w:sz w:val="20"/>
                <w:szCs w:val="20"/>
              </w:rPr>
              <w:t xml:space="preserve">Coup d’états </w:t>
            </w:r>
          </w:p>
        </w:tc>
        <w:tc>
          <w:tcPr>
            <w:tcW w:w="2643" w:type="pct"/>
            <w:vAlign w:val="center"/>
          </w:tcPr>
          <w:p w14:paraId="738D4A36" w14:textId="77777777" w:rsidR="002E112F" w:rsidRPr="002E112F" w:rsidRDefault="002E112F" w:rsidP="002E112F">
            <w:pPr>
              <w:rPr>
                <w:rFonts w:ascii="Times New Roman" w:hAnsi="Times New Roman" w:cs="Times New Roman"/>
                <w:sz w:val="20"/>
                <w:szCs w:val="20"/>
              </w:rPr>
            </w:pPr>
            <w:r w:rsidRPr="002E112F">
              <w:rPr>
                <w:rFonts w:ascii="Times New Roman" w:hAnsi="Times New Roman" w:cs="Times New Roman"/>
                <w:sz w:val="20"/>
                <w:szCs w:val="20"/>
              </w:rPr>
              <w:t xml:space="preserve">Mattli (2000); Thyne (2017) </w:t>
            </w:r>
          </w:p>
        </w:tc>
      </w:tr>
      <w:tr w:rsidR="002E112F" w:rsidRPr="002E112F" w14:paraId="1E3C8304" w14:textId="77777777" w:rsidTr="00D7716F">
        <w:trPr>
          <w:trHeight w:val="144"/>
        </w:trPr>
        <w:tc>
          <w:tcPr>
            <w:tcW w:w="1736" w:type="pct"/>
            <w:tcBorders>
              <w:bottom w:val="single" w:sz="4" w:space="0" w:color="auto"/>
            </w:tcBorders>
            <w:shd w:val="clear" w:color="auto" w:fill="auto"/>
            <w:vAlign w:val="center"/>
          </w:tcPr>
          <w:p w14:paraId="528042A8" w14:textId="77777777" w:rsidR="002E112F" w:rsidRPr="002E112F" w:rsidRDefault="002E112F" w:rsidP="002E112F">
            <w:pPr>
              <w:rPr>
                <w:rFonts w:ascii="Times New Roman" w:hAnsi="Times New Roman" w:cs="Times New Roman"/>
                <w:sz w:val="20"/>
                <w:szCs w:val="20"/>
              </w:rPr>
            </w:pPr>
          </w:p>
        </w:tc>
        <w:tc>
          <w:tcPr>
            <w:tcW w:w="621" w:type="pct"/>
            <w:tcBorders>
              <w:bottom w:val="single" w:sz="4" w:space="0" w:color="auto"/>
            </w:tcBorders>
            <w:shd w:val="clear" w:color="auto" w:fill="auto"/>
            <w:vAlign w:val="center"/>
          </w:tcPr>
          <w:p w14:paraId="1D8A07B1" w14:textId="77777777" w:rsidR="002E112F" w:rsidRPr="002E112F" w:rsidRDefault="002E112F" w:rsidP="002E112F">
            <w:pPr>
              <w:rPr>
                <w:rFonts w:ascii="Times New Roman" w:hAnsi="Times New Roman" w:cs="Times New Roman"/>
                <w:sz w:val="20"/>
                <w:szCs w:val="20"/>
              </w:rPr>
            </w:pPr>
          </w:p>
        </w:tc>
        <w:tc>
          <w:tcPr>
            <w:tcW w:w="2643" w:type="pct"/>
            <w:tcBorders>
              <w:bottom w:val="single" w:sz="4" w:space="0" w:color="auto"/>
            </w:tcBorders>
            <w:vAlign w:val="center"/>
          </w:tcPr>
          <w:p w14:paraId="5355D0EA" w14:textId="77777777" w:rsidR="002E112F" w:rsidRPr="002E112F" w:rsidRDefault="002E112F" w:rsidP="002E112F">
            <w:pPr>
              <w:rPr>
                <w:rFonts w:ascii="Times New Roman" w:hAnsi="Times New Roman" w:cs="Times New Roman"/>
                <w:sz w:val="20"/>
                <w:szCs w:val="20"/>
              </w:rPr>
            </w:pPr>
          </w:p>
        </w:tc>
      </w:tr>
      <w:tr w:rsidR="002E112F" w:rsidRPr="002E112F" w14:paraId="01AE4FF2" w14:textId="77777777" w:rsidTr="00D7716F">
        <w:trPr>
          <w:trHeight w:val="288"/>
        </w:trPr>
        <w:tc>
          <w:tcPr>
            <w:tcW w:w="2357" w:type="pct"/>
            <w:gridSpan w:val="2"/>
            <w:tcBorders>
              <w:top w:val="single" w:sz="4" w:space="0" w:color="auto"/>
              <w:bottom w:val="single" w:sz="4" w:space="0" w:color="auto"/>
            </w:tcBorders>
            <w:shd w:val="clear" w:color="auto" w:fill="auto"/>
            <w:vAlign w:val="center"/>
          </w:tcPr>
          <w:p w14:paraId="127AFA69" w14:textId="77777777" w:rsidR="002E112F" w:rsidRPr="002E112F" w:rsidRDefault="002E112F" w:rsidP="002E112F">
            <w:pPr>
              <w:rPr>
                <w:rFonts w:ascii="Times New Roman" w:hAnsi="Times New Roman" w:cs="Times New Roman"/>
                <w:sz w:val="20"/>
                <w:szCs w:val="20"/>
              </w:rPr>
            </w:pPr>
            <w:r w:rsidRPr="002E112F">
              <w:rPr>
                <w:rFonts w:ascii="Times New Roman" w:hAnsi="Times New Roman" w:cs="Times New Roman"/>
                <w:b/>
                <w:bCs/>
                <w:sz w:val="20"/>
                <w:szCs w:val="20"/>
              </w:rPr>
              <w:t>Economic &amp; Resource Related</w:t>
            </w:r>
          </w:p>
        </w:tc>
        <w:tc>
          <w:tcPr>
            <w:tcW w:w="2643" w:type="pct"/>
            <w:tcBorders>
              <w:top w:val="single" w:sz="4" w:space="0" w:color="auto"/>
              <w:bottom w:val="single" w:sz="4" w:space="0" w:color="auto"/>
            </w:tcBorders>
            <w:vAlign w:val="center"/>
          </w:tcPr>
          <w:p w14:paraId="12E54C57" w14:textId="77777777" w:rsidR="002E112F" w:rsidRPr="002E112F" w:rsidRDefault="002E112F" w:rsidP="002E112F">
            <w:pPr>
              <w:rPr>
                <w:rFonts w:ascii="Times New Roman" w:hAnsi="Times New Roman" w:cs="Times New Roman"/>
                <w:sz w:val="20"/>
                <w:szCs w:val="20"/>
              </w:rPr>
            </w:pPr>
          </w:p>
        </w:tc>
      </w:tr>
      <w:tr w:rsidR="002E112F" w:rsidRPr="002E112F" w14:paraId="142AF34C" w14:textId="77777777" w:rsidTr="00D7716F">
        <w:trPr>
          <w:trHeight w:val="394"/>
        </w:trPr>
        <w:tc>
          <w:tcPr>
            <w:tcW w:w="2357" w:type="pct"/>
            <w:gridSpan w:val="2"/>
            <w:tcBorders>
              <w:top w:val="single" w:sz="4" w:space="0" w:color="auto"/>
            </w:tcBorders>
            <w:shd w:val="clear" w:color="auto" w:fill="auto"/>
            <w:vAlign w:val="center"/>
          </w:tcPr>
          <w:p w14:paraId="173D9C15" w14:textId="77777777" w:rsidR="002E112F" w:rsidRPr="002E112F" w:rsidRDefault="002E112F" w:rsidP="002E112F">
            <w:pPr>
              <w:ind w:left="350"/>
              <w:rPr>
                <w:rFonts w:ascii="Times New Roman" w:hAnsi="Times New Roman" w:cs="Times New Roman"/>
                <w:sz w:val="20"/>
                <w:szCs w:val="20"/>
              </w:rPr>
            </w:pPr>
            <w:r w:rsidRPr="002E112F">
              <w:rPr>
                <w:rFonts w:ascii="Times New Roman" w:hAnsi="Times New Roman" w:cs="Times New Roman"/>
                <w:sz w:val="20"/>
                <w:szCs w:val="20"/>
              </w:rPr>
              <w:t>Depressions</w:t>
            </w:r>
          </w:p>
          <w:p w14:paraId="319988B4" w14:textId="77777777" w:rsidR="002E112F" w:rsidRPr="002E112F" w:rsidRDefault="002E112F" w:rsidP="002E112F">
            <w:pPr>
              <w:ind w:left="530"/>
              <w:rPr>
                <w:rFonts w:ascii="Times New Roman" w:hAnsi="Times New Roman" w:cs="Times New Roman"/>
                <w:sz w:val="20"/>
                <w:szCs w:val="20"/>
              </w:rPr>
            </w:pPr>
            <w:r w:rsidRPr="002E112F">
              <w:rPr>
                <w:rFonts w:ascii="Times New Roman" w:hAnsi="Times New Roman" w:cs="Times New Roman"/>
                <w:sz w:val="20"/>
                <w:szCs w:val="20"/>
              </w:rPr>
              <w:t xml:space="preserve">General reference; </w:t>
            </w:r>
          </w:p>
          <w:p w14:paraId="6A1E3F46" w14:textId="77777777" w:rsidR="002E112F" w:rsidRPr="002E112F" w:rsidRDefault="002E112F" w:rsidP="002E112F">
            <w:pPr>
              <w:ind w:left="530"/>
              <w:rPr>
                <w:rFonts w:ascii="Times New Roman" w:hAnsi="Times New Roman" w:cs="Times New Roman"/>
                <w:sz w:val="20"/>
                <w:szCs w:val="20"/>
              </w:rPr>
            </w:pPr>
            <w:r w:rsidRPr="002E112F">
              <w:rPr>
                <w:rFonts w:ascii="Times New Roman" w:hAnsi="Times New Roman" w:cs="Times New Roman"/>
                <w:sz w:val="20"/>
                <w:szCs w:val="20"/>
              </w:rPr>
              <w:t>1930s Great Depression</w:t>
            </w:r>
          </w:p>
        </w:tc>
        <w:tc>
          <w:tcPr>
            <w:tcW w:w="2643" w:type="pct"/>
            <w:tcBorders>
              <w:top w:val="single" w:sz="4" w:space="0" w:color="auto"/>
            </w:tcBorders>
            <w:vAlign w:val="center"/>
          </w:tcPr>
          <w:p w14:paraId="256E5120" w14:textId="77777777" w:rsidR="002E112F" w:rsidRPr="002E112F" w:rsidRDefault="002E112F" w:rsidP="002E112F">
            <w:pPr>
              <w:rPr>
                <w:rFonts w:ascii="Times New Roman" w:hAnsi="Times New Roman" w:cs="Times New Roman"/>
                <w:sz w:val="20"/>
                <w:szCs w:val="20"/>
              </w:rPr>
            </w:pPr>
            <w:r w:rsidRPr="002E112F">
              <w:rPr>
                <w:rFonts w:ascii="Times New Roman" w:hAnsi="Times New Roman" w:cs="Times New Roman"/>
                <w:sz w:val="20"/>
                <w:szCs w:val="20"/>
              </w:rPr>
              <w:t>Carson et al. (2011); Iversen &amp; Soskice (2009); Morin &amp; Orsini (2013)</w:t>
            </w:r>
          </w:p>
        </w:tc>
      </w:tr>
      <w:tr w:rsidR="002E112F" w:rsidRPr="002E112F" w14:paraId="1D326A29" w14:textId="77777777" w:rsidTr="00D7716F">
        <w:trPr>
          <w:trHeight w:val="394"/>
        </w:trPr>
        <w:tc>
          <w:tcPr>
            <w:tcW w:w="2357" w:type="pct"/>
            <w:gridSpan w:val="2"/>
            <w:shd w:val="clear" w:color="auto" w:fill="auto"/>
            <w:vAlign w:val="center"/>
          </w:tcPr>
          <w:p w14:paraId="4EC466B4" w14:textId="77777777" w:rsidR="002E112F" w:rsidRPr="002E112F" w:rsidRDefault="002E112F" w:rsidP="002E112F">
            <w:pPr>
              <w:ind w:left="350"/>
              <w:rPr>
                <w:rFonts w:ascii="Times New Roman" w:hAnsi="Times New Roman" w:cs="Times New Roman"/>
                <w:sz w:val="20"/>
                <w:szCs w:val="20"/>
              </w:rPr>
            </w:pPr>
            <w:r w:rsidRPr="002E112F">
              <w:rPr>
                <w:rFonts w:ascii="Times New Roman" w:hAnsi="Times New Roman" w:cs="Times New Roman"/>
                <w:sz w:val="20"/>
                <w:szCs w:val="20"/>
              </w:rPr>
              <w:t>Economic Reform</w:t>
            </w:r>
          </w:p>
          <w:p w14:paraId="5FA4D4CA" w14:textId="77777777" w:rsidR="002E112F" w:rsidRPr="002E112F" w:rsidRDefault="002E112F" w:rsidP="002E112F">
            <w:pPr>
              <w:ind w:left="530"/>
              <w:rPr>
                <w:rFonts w:ascii="Times New Roman" w:hAnsi="Times New Roman" w:cs="Times New Roman"/>
                <w:sz w:val="20"/>
                <w:szCs w:val="20"/>
              </w:rPr>
            </w:pPr>
            <w:r w:rsidRPr="002E112F">
              <w:rPr>
                <w:rFonts w:ascii="Times New Roman" w:hAnsi="Times New Roman" w:cs="Times New Roman"/>
                <w:sz w:val="20"/>
                <w:szCs w:val="20"/>
              </w:rPr>
              <w:t xml:space="preserve">Economic liberalization; </w:t>
            </w:r>
          </w:p>
          <w:p w14:paraId="51843B93" w14:textId="77777777" w:rsidR="002E112F" w:rsidRPr="002E112F" w:rsidRDefault="002E112F" w:rsidP="002E112F">
            <w:pPr>
              <w:ind w:left="530"/>
              <w:rPr>
                <w:rFonts w:ascii="Times New Roman" w:hAnsi="Times New Roman" w:cs="Times New Roman"/>
                <w:sz w:val="20"/>
                <w:szCs w:val="20"/>
              </w:rPr>
            </w:pPr>
            <w:r w:rsidRPr="002E112F">
              <w:rPr>
                <w:rFonts w:ascii="Times New Roman" w:hAnsi="Times New Roman" w:cs="Times New Roman"/>
                <w:sz w:val="20"/>
                <w:szCs w:val="20"/>
              </w:rPr>
              <w:t xml:space="preserve">Liberalism; </w:t>
            </w:r>
          </w:p>
          <w:p w14:paraId="58EE4959" w14:textId="77777777" w:rsidR="002E112F" w:rsidRPr="002E112F" w:rsidRDefault="002E112F" w:rsidP="002E112F">
            <w:pPr>
              <w:ind w:left="530"/>
              <w:rPr>
                <w:rFonts w:ascii="Times New Roman" w:hAnsi="Times New Roman" w:cs="Times New Roman"/>
                <w:sz w:val="20"/>
                <w:szCs w:val="20"/>
              </w:rPr>
            </w:pPr>
            <w:r w:rsidRPr="002E112F">
              <w:rPr>
                <w:rFonts w:ascii="Times New Roman" w:hAnsi="Times New Roman" w:cs="Times New Roman"/>
                <w:sz w:val="20"/>
                <w:szCs w:val="20"/>
              </w:rPr>
              <w:t>Shock Therapy</w:t>
            </w:r>
          </w:p>
        </w:tc>
        <w:tc>
          <w:tcPr>
            <w:tcW w:w="2643" w:type="pct"/>
            <w:vAlign w:val="center"/>
          </w:tcPr>
          <w:p w14:paraId="4880B818" w14:textId="77777777" w:rsidR="002E112F" w:rsidRPr="002E112F" w:rsidRDefault="002E112F" w:rsidP="002E112F">
            <w:pPr>
              <w:rPr>
                <w:rFonts w:ascii="Times New Roman" w:hAnsi="Times New Roman" w:cs="Times New Roman"/>
                <w:sz w:val="20"/>
                <w:szCs w:val="20"/>
              </w:rPr>
            </w:pPr>
          </w:p>
          <w:p w14:paraId="0D23459E" w14:textId="77777777" w:rsidR="002E112F" w:rsidRPr="002E112F" w:rsidRDefault="002E112F" w:rsidP="002E112F">
            <w:pPr>
              <w:rPr>
                <w:rFonts w:ascii="Times New Roman" w:hAnsi="Times New Roman" w:cs="Times New Roman"/>
                <w:sz w:val="20"/>
                <w:szCs w:val="20"/>
              </w:rPr>
            </w:pPr>
            <w:r w:rsidRPr="002E112F">
              <w:rPr>
                <w:rFonts w:ascii="Times New Roman" w:hAnsi="Times New Roman" w:cs="Times New Roman"/>
                <w:sz w:val="20"/>
                <w:szCs w:val="20"/>
              </w:rPr>
              <w:t xml:space="preserve">Arbatov (1998); Barnett (2006); Barnett et al. (2014); Betts (1992); Bunce (2003); Chandra &amp; Rudra (2013); Chwieroth (2008); Fang &amp; Stone (2012); Horowitz (2004); Paris (1997); Schimmelfenning (2005); Solingen (1994)   </w:t>
            </w:r>
          </w:p>
        </w:tc>
      </w:tr>
      <w:tr w:rsidR="002E112F" w:rsidRPr="002E112F" w14:paraId="15CDD5E4" w14:textId="77777777" w:rsidTr="00D7716F">
        <w:trPr>
          <w:trHeight w:val="394"/>
        </w:trPr>
        <w:tc>
          <w:tcPr>
            <w:tcW w:w="2357" w:type="pct"/>
            <w:gridSpan w:val="2"/>
            <w:shd w:val="clear" w:color="auto" w:fill="auto"/>
            <w:vAlign w:val="center"/>
          </w:tcPr>
          <w:p w14:paraId="321F5D5E" w14:textId="77777777" w:rsidR="002E112F" w:rsidRPr="002E112F" w:rsidRDefault="002E112F" w:rsidP="002E112F">
            <w:pPr>
              <w:ind w:left="350"/>
              <w:rPr>
                <w:rFonts w:ascii="Times New Roman" w:hAnsi="Times New Roman" w:cs="Times New Roman"/>
                <w:sz w:val="20"/>
                <w:szCs w:val="20"/>
              </w:rPr>
            </w:pPr>
            <w:r w:rsidRPr="002E112F">
              <w:rPr>
                <w:rFonts w:ascii="Times New Roman" w:hAnsi="Times New Roman" w:cs="Times New Roman"/>
                <w:sz w:val="20"/>
                <w:szCs w:val="20"/>
              </w:rPr>
              <w:t>Financial Crises &amp; Recessions</w:t>
            </w:r>
          </w:p>
          <w:p w14:paraId="784DBB02" w14:textId="77777777" w:rsidR="002E112F" w:rsidRPr="002E112F" w:rsidRDefault="002E112F" w:rsidP="002E112F">
            <w:pPr>
              <w:ind w:left="530"/>
              <w:rPr>
                <w:rFonts w:ascii="Times New Roman" w:hAnsi="Times New Roman" w:cs="Times New Roman"/>
                <w:sz w:val="20"/>
                <w:szCs w:val="20"/>
              </w:rPr>
            </w:pPr>
            <w:r w:rsidRPr="002E112F">
              <w:rPr>
                <w:rFonts w:ascii="Times New Roman" w:hAnsi="Times New Roman" w:cs="Times New Roman"/>
                <w:sz w:val="20"/>
                <w:szCs w:val="20"/>
              </w:rPr>
              <w:t>General reference to financial crises; recessions; debt crisis; economic crises; global economic recession</w:t>
            </w:r>
          </w:p>
          <w:p w14:paraId="590C3017" w14:textId="77777777" w:rsidR="002E112F" w:rsidRPr="002E112F" w:rsidRDefault="002E112F" w:rsidP="002E112F">
            <w:pPr>
              <w:ind w:left="530"/>
              <w:rPr>
                <w:rFonts w:ascii="Times New Roman" w:hAnsi="Times New Roman" w:cs="Times New Roman"/>
                <w:sz w:val="20"/>
                <w:szCs w:val="20"/>
              </w:rPr>
            </w:pPr>
            <w:r w:rsidRPr="002E112F">
              <w:rPr>
                <w:rFonts w:ascii="Times New Roman" w:hAnsi="Times New Roman" w:cs="Times New Roman"/>
                <w:sz w:val="20"/>
                <w:szCs w:val="20"/>
              </w:rPr>
              <w:t>Specific events: 1997 Asian financial crisis; 2008 financial crisis; US collapse of housing prices</w:t>
            </w:r>
          </w:p>
        </w:tc>
        <w:tc>
          <w:tcPr>
            <w:tcW w:w="2643" w:type="pct"/>
            <w:vAlign w:val="center"/>
          </w:tcPr>
          <w:p w14:paraId="439DBFA4" w14:textId="77777777" w:rsidR="002E112F" w:rsidRPr="002E112F" w:rsidRDefault="002E112F" w:rsidP="002E112F">
            <w:pPr>
              <w:spacing w:before="240"/>
              <w:rPr>
                <w:rFonts w:ascii="Times New Roman" w:hAnsi="Times New Roman" w:cs="Times New Roman"/>
                <w:sz w:val="20"/>
                <w:szCs w:val="20"/>
              </w:rPr>
            </w:pPr>
            <w:r w:rsidRPr="002E112F">
              <w:rPr>
                <w:rFonts w:ascii="Times New Roman" w:hAnsi="Times New Roman" w:cs="Times New Roman"/>
                <w:sz w:val="20"/>
                <w:szCs w:val="20"/>
              </w:rPr>
              <w:t>Brooks &amp; Kurtz (2012); Broz (1998); Drezner (2009); Florea (2012); Hafner-Burton et al. (2017); Koga (2018); Krebs (2015); Nelson &amp; Katzenstein (2014); Verdier (1998); Welch Larson (2018); Zhang (2020)</w:t>
            </w:r>
          </w:p>
        </w:tc>
      </w:tr>
      <w:tr w:rsidR="002E112F" w:rsidRPr="002E112F" w14:paraId="6A67EAC5" w14:textId="77777777" w:rsidTr="00D7716F">
        <w:trPr>
          <w:trHeight w:val="394"/>
        </w:trPr>
        <w:tc>
          <w:tcPr>
            <w:tcW w:w="2357" w:type="pct"/>
            <w:gridSpan w:val="2"/>
            <w:shd w:val="clear" w:color="auto" w:fill="auto"/>
            <w:vAlign w:val="center"/>
          </w:tcPr>
          <w:p w14:paraId="1493411B" w14:textId="77777777" w:rsidR="002E112F" w:rsidRPr="002E112F" w:rsidRDefault="002E112F" w:rsidP="002E112F">
            <w:pPr>
              <w:ind w:left="350"/>
              <w:rPr>
                <w:rFonts w:ascii="Times New Roman" w:hAnsi="Times New Roman" w:cs="Times New Roman"/>
                <w:sz w:val="20"/>
                <w:szCs w:val="20"/>
              </w:rPr>
            </w:pPr>
            <w:r w:rsidRPr="002E112F">
              <w:rPr>
                <w:rFonts w:ascii="Times New Roman" w:hAnsi="Times New Roman" w:cs="Times New Roman"/>
                <w:sz w:val="20"/>
                <w:szCs w:val="20"/>
              </w:rPr>
              <w:t>Foreign Aid</w:t>
            </w:r>
          </w:p>
          <w:p w14:paraId="703561E7" w14:textId="77777777" w:rsidR="002E112F" w:rsidRPr="002E112F" w:rsidRDefault="002E112F" w:rsidP="002E112F">
            <w:pPr>
              <w:ind w:left="530"/>
              <w:rPr>
                <w:rFonts w:ascii="Times New Roman" w:hAnsi="Times New Roman" w:cs="Times New Roman"/>
                <w:sz w:val="20"/>
                <w:szCs w:val="20"/>
              </w:rPr>
            </w:pPr>
            <w:r w:rsidRPr="002E112F">
              <w:rPr>
                <w:rFonts w:ascii="Times New Roman" w:hAnsi="Times New Roman" w:cs="Times New Roman"/>
                <w:sz w:val="20"/>
                <w:szCs w:val="20"/>
              </w:rPr>
              <w:t xml:space="preserve">Aid provision and termination; </w:t>
            </w:r>
          </w:p>
          <w:p w14:paraId="4AF9C47E" w14:textId="77777777" w:rsidR="002E112F" w:rsidRPr="002E112F" w:rsidRDefault="002E112F" w:rsidP="002E112F">
            <w:pPr>
              <w:ind w:left="608"/>
              <w:rPr>
                <w:rFonts w:ascii="Times New Roman" w:hAnsi="Times New Roman" w:cs="Times New Roman"/>
                <w:sz w:val="20"/>
                <w:szCs w:val="20"/>
              </w:rPr>
            </w:pPr>
            <w:r w:rsidRPr="002E112F">
              <w:rPr>
                <w:rFonts w:ascii="Times New Roman" w:hAnsi="Times New Roman" w:cs="Times New Roman"/>
                <w:sz w:val="20"/>
                <w:szCs w:val="20"/>
              </w:rPr>
              <w:t xml:space="preserve">“aid shocks”; </w:t>
            </w:r>
          </w:p>
          <w:p w14:paraId="6AF3ED10" w14:textId="77777777" w:rsidR="002E112F" w:rsidRPr="002E112F" w:rsidRDefault="002E112F" w:rsidP="002E112F">
            <w:pPr>
              <w:ind w:left="530"/>
              <w:rPr>
                <w:rFonts w:ascii="Times New Roman" w:hAnsi="Times New Roman" w:cs="Times New Roman"/>
                <w:sz w:val="20"/>
                <w:szCs w:val="20"/>
              </w:rPr>
            </w:pPr>
            <w:r w:rsidRPr="002E112F">
              <w:rPr>
                <w:rFonts w:ascii="Times New Roman" w:hAnsi="Times New Roman" w:cs="Times New Roman"/>
                <w:sz w:val="20"/>
                <w:szCs w:val="20"/>
              </w:rPr>
              <w:t>bilateral aid dynamics</w:t>
            </w:r>
          </w:p>
        </w:tc>
        <w:tc>
          <w:tcPr>
            <w:tcW w:w="2643" w:type="pct"/>
            <w:vAlign w:val="center"/>
          </w:tcPr>
          <w:p w14:paraId="2ADA701B" w14:textId="77777777" w:rsidR="002E112F" w:rsidRPr="002E112F" w:rsidRDefault="002E112F" w:rsidP="002E112F">
            <w:pPr>
              <w:spacing w:before="240"/>
              <w:rPr>
                <w:rFonts w:ascii="Times New Roman" w:hAnsi="Times New Roman" w:cs="Times New Roman"/>
                <w:sz w:val="20"/>
                <w:szCs w:val="20"/>
              </w:rPr>
            </w:pPr>
            <w:r w:rsidRPr="002E112F">
              <w:rPr>
                <w:rFonts w:ascii="Times New Roman" w:hAnsi="Times New Roman" w:cs="Times New Roman"/>
                <w:sz w:val="20"/>
                <w:szCs w:val="20"/>
              </w:rPr>
              <w:t>Alexander &amp; Rooney (2019); Karell &amp; Schutte (2018); Narang (2015); Sobek &amp; Payne (2010)</w:t>
            </w:r>
          </w:p>
          <w:p w14:paraId="190B87DD" w14:textId="77777777" w:rsidR="002E112F" w:rsidRPr="002E112F" w:rsidRDefault="002E112F" w:rsidP="002E112F">
            <w:pPr>
              <w:spacing w:before="240"/>
              <w:rPr>
                <w:rFonts w:ascii="Times New Roman" w:hAnsi="Times New Roman" w:cs="Times New Roman"/>
                <w:sz w:val="20"/>
                <w:szCs w:val="20"/>
              </w:rPr>
            </w:pPr>
          </w:p>
        </w:tc>
      </w:tr>
      <w:tr w:rsidR="002E112F" w:rsidRPr="002E112F" w14:paraId="70CD642B" w14:textId="77777777" w:rsidTr="00D7716F">
        <w:trPr>
          <w:trHeight w:val="288"/>
        </w:trPr>
        <w:tc>
          <w:tcPr>
            <w:tcW w:w="2357" w:type="pct"/>
            <w:gridSpan w:val="2"/>
            <w:tcBorders>
              <w:top w:val="single" w:sz="4" w:space="0" w:color="auto"/>
            </w:tcBorders>
            <w:shd w:val="clear" w:color="auto" w:fill="auto"/>
            <w:vAlign w:val="center"/>
          </w:tcPr>
          <w:p w14:paraId="2FA67E54" w14:textId="77777777" w:rsidR="002E112F" w:rsidRPr="002E112F" w:rsidRDefault="002E112F" w:rsidP="002E112F">
            <w:pPr>
              <w:ind w:left="341"/>
              <w:rPr>
                <w:rFonts w:ascii="Times New Roman" w:hAnsi="Times New Roman" w:cs="Times New Roman"/>
                <w:sz w:val="20"/>
                <w:szCs w:val="20"/>
              </w:rPr>
            </w:pPr>
            <w:r w:rsidRPr="002E112F">
              <w:rPr>
                <w:rFonts w:ascii="Times New Roman" w:hAnsi="Times New Roman" w:cs="Times New Roman"/>
                <w:sz w:val="20"/>
                <w:szCs w:val="20"/>
              </w:rPr>
              <w:t>Price/Supply Changes</w:t>
            </w:r>
          </w:p>
          <w:p w14:paraId="21493289" w14:textId="77777777" w:rsidR="002E112F" w:rsidRPr="002E112F" w:rsidRDefault="002E112F" w:rsidP="002E112F">
            <w:pPr>
              <w:ind w:left="521"/>
              <w:rPr>
                <w:rFonts w:ascii="Times New Roman" w:hAnsi="Times New Roman" w:cs="Times New Roman"/>
                <w:sz w:val="20"/>
                <w:szCs w:val="20"/>
              </w:rPr>
            </w:pPr>
            <w:r w:rsidRPr="002E112F">
              <w:rPr>
                <w:rFonts w:ascii="Times New Roman" w:hAnsi="Times New Roman" w:cs="Times New Roman"/>
                <w:sz w:val="20"/>
                <w:szCs w:val="20"/>
              </w:rPr>
              <w:t>General reference</w:t>
            </w:r>
          </w:p>
          <w:p w14:paraId="10247954" w14:textId="77777777" w:rsidR="002E112F" w:rsidRPr="002E112F" w:rsidRDefault="002E112F" w:rsidP="002E112F">
            <w:pPr>
              <w:ind w:left="521"/>
              <w:rPr>
                <w:rFonts w:ascii="Times New Roman" w:hAnsi="Times New Roman" w:cs="Times New Roman"/>
                <w:sz w:val="20"/>
                <w:szCs w:val="20"/>
              </w:rPr>
            </w:pPr>
            <w:r w:rsidRPr="002E112F">
              <w:rPr>
                <w:rFonts w:ascii="Times New Roman" w:hAnsi="Times New Roman" w:cs="Times New Roman"/>
                <w:sz w:val="20"/>
                <w:szCs w:val="20"/>
              </w:rPr>
              <w:t>Oil Shocks (1970s; 1980s)</w:t>
            </w:r>
          </w:p>
        </w:tc>
        <w:tc>
          <w:tcPr>
            <w:tcW w:w="2643" w:type="pct"/>
            <w:tcBorders>
              <w:top w:val="single" w:sz="4" w:space="0" w:color="auto"/>
            </w:tcBorders>
            <w:vAlign w:val="center"/>
          </w:tcPr>
          <w:p w14:paraId="624F50E6" w14:textId="77777777" w:rsidR="002E112F" w:rsidRPr="002E112F" w:rsidRDefault="002E112F" w:rsidP="002E112F">
            <w:pPr>
              <w:rPr>
                <w:rFonts w:ascii="Times New Roman" w:hAnsi="Times New Roman" w:cs="Times New Roman"/>
                <w:sz w:val="20"/>
                <w:szCs w:val="20"/>
                <w:highlight w:val="yellow"/>
              </w:rPr>
            </w:pPr>
          </w:p>
          <w:p w14:paraId="17DF690A" w14:textId="70D74480" w:rsidR="002E112F" w:rsidRPr="002E112F" w:rsidRDefault="002E112F" w:rsidP="002E112F">
            <w:pPr>
              <w:rPr>
                <w:rFonts w:ascii="Times New Roman" w:hAnsi="Times New Roman" w:cs="Times New Roman"/>
                <w:sz w:val="20"/>
                <w:szCs w:val="20"/>
              </w:rPr>
            </w:pPr>
            <w:r w:rsidRPr="002E112F">
              <w:rPr>
                <w:rFonts w:ascii="Times New Roman" w:hAnsi="Times New Roman" w:cs="Times New Roman"/>
                <w:sz w:val="20"/>
                <w:szCs w:val="20"/>
              </w:rPr>
              <w:t xml:space="preserve">Bennett et al. (1994); Betz &amp; Kerner (2016); Clark et al. (1998); Colgan (2010); Crisp &amp; Kelly (1999); Darnton (2014); Fordham (2007); Garrett (1992); Goodman et al. (1996); Kang (1997); Kaufman (1997); Lavelle (2011); </w:t>
            </w:r>
            <w:r w:rsidRPr="002E112F">
              <w:rPr>
                <w:rFonts w:ascii="Times New Roman" w:hAnsi="Times New Roman" w:cs="Times New Roman"/>
                <w:sz w:val="20"/>
                <w:szCs w:val="20"/>
              </w:rPr>
              <w:lastRenderedPageBreak/>
              <w:t>Nayar (1995); Talmadge (2008); Tilton (1994); Verdier (1998); Wigley (2018)</w:t>
            </w:r>
          </w:p>
        </w:tc>
      </w:tr>
      <w:tr w:rsidR="002E112F" w:rsidRPr="002E112F" w14:paraId="215A5DDC" w14:textId="77777777" w:rsidTr="00D7716F">
        <w:trPr>
          <w:trHeight w:val="144"/>
        </w:trPr>
        <w:tc>
          <w:tcPr>
            <w:tcW w:w="1736" w:type="pct"/>
            <w:tcBorders>
              <w:bottom w:val="single" w:sz="4" w:space="0" w:color="auto"/>
            </w:tcBorders>
            <w:shd w:val="clear" w:color="auto" w:fill="auto"/>
            <w:vAlign w:val="center"/>
          </w:tcPr>
          <w:p w14:paraId="1288C706" w14:textId="77777777" w:rsidR="002E112F" w:rsidRPr="002E112F" w:rsidRDefault="002E112F" w:rsidP="002E112F">
            <w:pPr>
              <w:rPr>
                <w:rFonts w:ascii="Times New Roman" w:hAnsi="Times New Roman" w:cs="Times New Roman"/>
                <w:sz w:val="20"/>
                <w:szCs w:val="20"/>
              </w:rPr>
            </w:pPr>
          </w:p>
        </w:tc>
        <w:tc>
          <w:tcPr>
            <w:tcW w:w="621" w:type="pct"/>
            <w:tcBorders>
              <w:bottom w:val="single" w:sz="4" w:space="0" w:color="auto"/>
            </w:tcBorders>
            <w:shd w:val="clear" w:color="auto" w:fill="auto"/>
            <w:vAlign w:val="center"/>
          </w:tcPr>
          <w:p w14:paraId="2447FF55" w14:textId="77777777" w:rsidR="002E112F" w:rsidRPr="002E112F" w:rsidRDefault="002E112F" w:rsidP="002E112F">
            <w:pPr>
              <w:rPr>
                <w:rFonts w:ascii="Times New Roman" w:hAnsi="Times New Roman" w:cs="Times New Roman"/>
                <w:sz w:val="20"/>
                <w:szCs w:val="20"/>
              </w:rPr>
            </w:pPr>
          </w:p>
        </w:tc>
        <w:tc>
          <w:tcPr>
            <w:tcW w:w="2643" w:type="pct"/>
            <w:tcBorders>
              <w:bottom w:val="single" w:sz="4" w:space="0" w:color="auto"/>
            </w:tcBorders>
            <w:vAlign w:val="center"/>
          </w:tcPr>
          <w:p w14:paraId="791B24A9" w14:textId="77777777" w:rsidR="002E112F" w:rsidRPr="002E112F" w:rsidRDefault="002E112F" w:rsidP="002E112F">
            <w:pPr>
              <w:rPr>
                <w:rFonts w:ascii="Times New Roman" w:hAnsi="Times New Roman" w:cs="Times New Roman"/>
                <w:sz w:val="20"/>
                <w:szCs w:val="20"/>
              </w:rPr>
            </w:pPr>
          </w:p>
        </w:tc>
      </w:tr>
      <w:tr w:rsidR="002E112F" w:rsidRPr="002E112F" w14:paraId="781063D7" w14:textId="77777777" w:rsidTr="00D7716F">
        <w:trPr>
          <w:trHeight w:val="20"/>
        </w:trPr>
        <w:tc>
          <w:tcPr>
            <w:tcW w:w="1736" w:type="pct"/>
            <w:tcBorders>
              <w:top w:val="single" w:sz="4" w:space="0" w:color="auto"/>
              <w:bottom w:val="single" w:sz="4" w:space="0" w:color="auto"/>
            </w:tcBorders>
            <w:shd w:val="clear" w:color="auto" w:fill="auto"/>
            <w:vAlign w:val="center"/>
          </w:tcPr>
          <w:p w14:paraId="22CF7B25" w14:textId="77777777" w:rsidR="002E112F" w:rsidRPr="002E112F" w:rsidRDefault="002E112F" w:rsidP="002E112F">
            <w:pPr>
              <w:rPr>
                <w:rFonts w:ascii="Times New Roman" w:hAnsi="Times New Roman" w:cs="Times New Roman"/>
                <w:b/>
                <w:bCs/>
                <w:sz w:val="20"/>
                <w:szCs w:val="20"/>
              </w:rPr>
            </w:pPr>
            <w:r w:rsidRPr="002E112F">
              <w:rPr>
                <w:rFonts w:ascii="Times New Roman" w:hAnsi="Times New Roman" w:cs="Times New Roman"/>
                <w:b/>
                <w:bCs/>
                <w:sz w:val="20"/>
                <w:szCs w:val="20"/>
              </w:rPr>
              <w:t>Natural Disasters</w:t>
            </w:r>
          </w:p>
        </w:tc>
        <w:tc>
          <w:tcPr>
            <w:tcW w:w="621" w:type="pct"/>
            <w:tcBorders>
              <w:top w:val="single" w:sz="4" w:space="0" w:color="auto"/>
              <w:bottom w:val="single" w:sz="4" w:space="0" w:color="auto"/>
            </w:tcBorders>
            <w:shd w:val="clear" w:color="auto" w:fill="auto"/>
            <w:vAlign w:val="center"/>
          </w:tcPr>
          <w:p w14:paraId="0CB3F317" w14:textId="77777777" w:rsidR="002E112F" w:rsidRPr="002E112F" w:rsidRDefault="002E112F" w:rsidP="002E112F">
            <w:pPr>
              <w:rPr>
                <w:rFonts w:ascii="Times New Roman" w:hAnsi="Times New Roman" w:cs="Times New Roman"/>
                <w:b/>
                <w:bCs/>
                <w:sz w:val="20"/>
                <w:szCs w:val="20"/>
              </w:rPr>
            </w:pPr>
          </w:p>
        </w:tc>
        <w:tc>
          <w:tcPr>
            <w:tcW w:w="2643" w:type="pct"/>
            <w:tcBorders>
              <w:top w:val="single" w:sz="4" w:space="0" w:color="auto"/>
              <w:bottom w:val="single" w:sz="4" w:space="0" w:color="auto"/>
            </w:tcBorders>
            <w:vAlign w:val="center"/>
          </w:tcPr>
          <w:p w14:paraId="6E81791E" w14:textId="77777777" w:rsidR="002E112F" w:rsidRPr="002E112F" w:rsidRDefault="002E112F" w:rsidP="002E112F">
            <w:pPr>
              <w:rPr>
                <w:rFonts w:ascii="Times New Roman" w:hAnsi="Times New Roman" w:cs="Times New Roman"/>
                <w:b/>
                <w:bCs/>
                <w:sz w:val="20"/>
                <w:szCs w:val="20"/>
              </w:rPr>
            </w:pPr>
          </w:p>
        </w:tc>
      </w:tr>
      <w:tr w:rsidR="002E112F" w:rsidRPr="002E112F" w14:paraId="3FD908A6" w14:textId="77777777" w:rsidTr="00D7716F">
        <w:trPr>
          <w:trHeight w:val="288"/>
        </w:trPr>
        <w:tc>
          <w:tcPr>
            <w:tcW w:w="2357" w:type="pct"/>
            <w:gridSpan w:val="2"/>
            <w:tcBorders>
              <w:top w:val="single" w:sz="4" w:space="0" w:color="auto"/>
            </w:tcBorders>
            <w:shd w:val="clear" w:color="auto" w:fill="auto"/>
            <w:vAlign w:val="center"/>
          </w:tcPr>
          <w:p w14:paraId="27D31755" w14:textId="77777777" w:rsidR="002E112F" w:rsidRPr="002E112F" w:rsidRDefault="002E112F" w:rsidP="002E112F">
            <w:pPr>
              <w:ind w:left="341"/>
              <w:rPr>
                <w:rFonts w:ascii="Times New Roman" w:hAnsi="Times New Roman" w:cs="Times New Roman"/>
                <w:sz w:val="20"/>
                <w:szCs w:val="20"/>
              </w:rPr>
            </w:pPr>
            <w:r w:rsidRPr="002E112F">
              <w:rPr>
                <w:rFonts w:ascii="Times New Roman" w:hAnsi="Times New Roman" w:cs="Times New Roman"/>
                <w:sz w:val="20"/>
                <w:szCs w:val="20"/>
              </w:rPr>
              <w:t xml:space="preserve">General reference; </w:t>
            </w:r>
          </w:p>
          <w:p w14:paraId="6832E4D4" w14:textId="77777777" w:rsidR="002E112F" w:rsidRPr="002E112F" w:rsidRDefault="002E112F" w:rsidP="002E112F">
            <w:pPr>
              <w:ind w:left="521"/>
              <w:rPr>
                <w:rFonts w:ascii="Times New Roman" w:hAnsi="Times New Roman" w:cs="Times New Roman"/>
                <w:sz w:val="20"/>
                <w:szCs w:val="20"/>
              </w:rPr>
            </w:pPr>
            <w:r w:rsidRPr="002E112F">
              <w:rPr>
                <w:rFonts w:ascii="Times New Roman" w:hAnsi="Times New Roman" w:cs="Times New Roman"/>
                <w:sz w:val="20"/>
                <w:szCs w:val="20"/>
              </w:rPr>
              <w:t xml:space="preserve">extreme weather events; </w:t>
            </w:r>
          </w:p>
          <w:p w14:paraId="038187C3" w14:textId="77777777" w:rsidR="002E112F" w:rsidRPr="002E112F" w:rsidRDefault="002E112F" w:rsidP="002E112F">
            <w:pPr>
              <w:ind w:left="521"/>
              <w:rPr>
                <w:rFonts w:ascii="Times New Roman" w:hAnsi="Times New Roman" w:cs="Times New Roman"/>
                <w:sz w:val="20"/>
                <w:szCs w:val="20"/>
              </w:rPr>
            </w:pPr>
            <w:r w:rsidRPr="002E112F">
              <w:rPr>
                <w:rFonts w:ascii="Times New Roman" w:hAnsi="Times New Roman" w:cs="Times New Roman"/>
                <w:sz w:val="20"/>
                <w:szCs w:val="20"/>
              </w:rPr>
              <w:t xml:space="preserve">“shocks of nature”; </w:t>
            </w:r>
          </w:p>
          <w:p w14:paraId="1B420927" w14:textId="77777777" w:rsidR="002E112F" w:rsidRPr="002E112F" w:rsidRDefault="002E112F" w:rsidP="002E112F">
            <w:pPr>
              <w:ind w:left="521"/>
              <w:rPr>
                <w:rFonts w:ascii="Times New Roman" w:hAnsi="Times New Roman" w:cs="Times New Roman"/>
                <w:sz w:val="20"/>
                <w:szCs w:val="20"/>
              </w:rPr>
            </w:pPr>
            <w:r w:rsidRPr="002E112F">
              <w:rPr>
                <w:rFonts w:ascii="Times New Roman" w:hAnsi="Times New Roman" w:cs="Times New Roman"/>
                <w:sz w:val="20"/>
                <w:szCs w:val="20"/>
              </w:rPr>
              <w:t>natural catastrophes</w:t>
            </w:r>
          </w:p>
          <w:p w14:paraId="4F65D151" w14:textId="77777777" w:rsidR="002E112F" w:rsidRPr="002E112F" w:rsidRDefault="002E112F" w:rsidP="002E112F">
            <w:pPr>
              <w:ind w:left="341"/>
              <w:rPr>
                <w:rFonts w:ascii="Times New Roman" w:hAnsi="Times New Roman" w:cs="Times New Roman"/>
                <w:sz w:val="20"/>
                <w:szCs w:val="20"/>
              </w:rPr>
            </w:pPr>
            <w:r w:rsidRPr="002E112F">
              <w:rPr>
                <w:rFonts w:ascii="Times New Roman" w:hAnsi="Times New Roman" w:cs="Times New Roman"/>
                <w:sz w:val="20"/>
                <w:szCs w:val="20"/>
              </w:rPr>
              <w:t xml:space="preserve">Climatic shocks; </w:t>
            </w:r>
          </w:p>
          <w:p w14:paraId="101BFA74" w14:textId="77777777" w:rsidR="002E112F" w:rsidRPr="002E112F" w:rsidRDefault="002E112F" w:rsidP="002E112F">
            <w:pPr>
              <w:ind w:left="521"/>
              <w:rPr>
                <w:rFonts w:ascii="Times New Roman" w:hAnsi="Times New Roman" w:cs="Times New Roman"/>
                <w:sz w:val="20"/>
                <w:szCs w:val="20"/>
              </w:rPr>
            </w:pPr>
            <w:r w:rsidRPr="002E112F">
              <w:rPr>
                <w:rFonts w:ascii="Times New Roman" w:hAnsi="Times New Roman" w:cs="Times New Roman"/>
                <w:sz w:val="20"/>
                <w:szCs w:val="20"/>
              </w:rPr>
              <w:t>climate related shocks</w:t>
            </w:r>
          </w:p>
        </w:tc>
        <w:tc>
          <w:tcPr>
            <w:tcW w:w="2643" w:type="pct"/>
            <w:vMerge w:val="restart"/>
            <w:tcBorders>
              <w:top w:val="single" w:sz="4" w:space="0" w:color="auto"/>
            </w:tcBorders>
            <w:vAlign w:val="center"/>
          </w:tcPr>
          <w:p w14:paraId="1C63E871" w14:textId="77777777" w:rsidR="002E112F" w:rsidRPr="002E112F" w:rsidRDefault="002E112F" w:rsidP="002E112F">
            <w:pPr>
              <w:spacing w:before="240"/>
              <w:rPr>
                <w:rFonts w:ascii="Times New Roman" w:hAnsi="Times New Roman" w:cs="Times New Roman"/>
                <w:sz w:val="20"/>
                <w:szCs w:val="20"/>
                <w:highlight w:val="yellow"/>
              </w:rPr>
            </w:pPr>
            <w:r w:rsidRPr="002E112F">
              <w:rPr>
                <w:rFonts w:ascii="Times New Roman" w:hAnsi="Times New Roman" w:cs="Times New Roman"/>
                <w:sz w:val="20"/>
                <w:szCs w:val="20"/>
              </w:rPr>
              <w:t>Bagozzi et al. (2017); Bhavanani &amp; Lacina (2015); Beardsley &amp; McQuinn (2009); Busby (2008); Carson et al. (2011); Hafner-Burton et al. (2017); Krebs (2015); Lazarev et al. (2014); Meierding (2013); Raleigh &amp; Kniveton (2012); Reuveny &amp; Thompson (2007)</w:t>
            </w:r>
          </w:p>
        </w:tc>
      </w:tr>
      <w:tr w:rsidR="002E112F" w:rsidRPr="002E112F" w14:paraId="2BBA4A40" w14:textId="77777777" w:rsidTr="00D7716F">
        <w:trPr>
          <w:trHeight w:val="288"/>
        </w:trPr>
        <w:tc>
          <w:tcPr>
            <w:tcW w:w="2357" w:type="pct"/>
            <w:gridSpan w:val="2"/>
            <w:shd w:val="clear" w:color="auto" w:fill="auto"/>
            <w:vAlign w:val="center"/>
          </w:tcPr>
          <w:p w14:paraId="042D9ABB" w14:textId="77777777" w:rsidR="002E112F" w:rsidRPr="002E112F" w:rsidRDefault="002E112F" w:rsidP="002E112F">
            <w:pPr>
              <w:ind w:left="341"/>
              <w:rPr>
                <w:rFonts w:ascii="Times New Roman" w:hAnsi="Times New Roman" w:cs="Times New Roman"/>
                <w:sz w:val="20"/>
                <w:szCs w:val="20"/>
              </w:rPr>
            </w:pPr>
            <w:r w:rsidRPr="002E112F">
              <w:rPr>
                <w:rFonts w:ascii="Times New Roman" w:hAnsi="Times New Roman" w:cs="Times New Roman"/>
                <w:sz w:val="20"/>
                <w:szCs w:val="20"/>
              </w:rPr>
              <w:t xml:space="preserve">Specific events; </w:t>
            </w:r>
          </w:p>
          <w:p w14:paraId="6495A3EA" w14:textId="77777777" w:rsidR="002E112F" w:rsidRPr="002E112F" w:rsidRDefault="002E112F" w:rsidP="002E112F">
            <w:pPr>
              <w:ind w:left="521"/>
              <w:rPr>
                <w:rFonts w:ascii="Times New Roman" w:hAnsi="Times New Roman" w:cs="Times New Roman"/>
                <w:sz w:val="20"/>
                <w:szCs w:val="20"/>
              </w:rPr>
            </w:pPr>
            <w:r w:rsidRPr="002E112F">
              <w:rPr>
                <w:rFonts w:ascii="Times New Roman" w:hAnsi="Times New Roman" w:cs="Times New Roman"/>
                <w:sz w:val="20"/>
                <w:szCs w:val="20"/>
              </w:rPr>
              <w:t xml:space="preserve">Cyclones; drought based/water shortages; excessive heat; floods; rainfall; rising sea levels; storms; tsunamis; wildfires </w:t>
            </w:r>
          </w:p>
        </w:tc>
        <w:tc>
          <w:tcPr>
            <w:tcW w:w="2643" w:type="pct"/>
            <w:vMerge/>
            <w:vAlign w:val="center"/>
          </w:tcPr>
          <w:p w14:paraId="5BBE39BF" w14:textId="77777777" w:rsidR="002E112F" w:rsidRPr="002E112F" w:rsidRDefault="002E112F" w:rsidP="002E112F">
            <w:pPr>
              <w:spacing w:before="240"/>
              <w:rPr>
                <w:rFonts w:ascii="Times New Roman" w:hAnsi="Times New Roman" w:cs="Times New Roman"/>
                <w:sz w:val="20"/>
                <w:szCs w:val="20"/>
                <w:highlight w:val="yellow"/>
              </w:rPr>
            </w:pPr>
          </w:p>
        </w:tc>
      </w:tr>
      <w:tr w:rsidR="002E112F" w:rsidRPr="002E112F" w14:paraId="48389E91" w14:textId="77777777" w:rsidTr="00D7716F">
        <w:trPr>
          <w:trHeight w:val="144"/>
        </w:trPr>
        <w:tc>
          <w:tcPr>
            <w:tcW w:w="2357" w:type="pct"/>
            <w:gridSpan w:val="2"/>
            <w:tcBorders>
              <w:bottom w:val="single" w:sz="4" w:space="0" w:color="auto"/>
            </w:tcBorders>
            <w:shd w:val="clear" w:color="auto" w:fill="auto"/>
            <w:vAlign w:val="center"/>
          </w:tcPr>
          <w:p w14:paraId="24BF4860" w14:textId="77777777" w:rsidR="002E112F" w:rsidRPr="002E112F" w:rsidRDefault="002E112F" w:rsidP="002E112F">
            <w:pPr>
              <w:rPr>
                <w:sz w:val="20"/>
                <w:szCs w:val="20"/>
              </w:rPr>
            </w:pPr>
          </w:p>
        </w:tc>
        <w:tc>
          <w:tcPr>
            <w:tcW w:w="2643" w:type="pct"/>
            <w:tcBorders>
              <w:bottom w:val="single" w:sz="4" w:space="0" w:color="auto"/>
            </w:tcBorders>
            <w:vAlign w:val="center"/>
          </w:tcPr>
          <w:p w14:paraId="59485D85" w14:textId="77777777" w:rsidR="002E112F" w:rsidRPr="002E112F" w:rsidRDefault="002E112F" w:rsidP="002E112F">
            <w:pPr>
              <w:rPr>
                <w:sz w:val="20"/>
                <w:szCs w:val="20"/>
              </w:rPr>
            </w:pPr>
          </w:p>
        </w:tc>
      </w:tr>
      <w:tr w:rsidR="002E112F" w:rsidRPr="002E112F" w14:paraId="430365AD" w14:textId="77777777" w:rsidTr="00D7716F">
        <w:trPr>
          <w:trHeight w:val="288"/>
        </w:trPr>
        <w:tc>
          <w:tcPr>
            <w:tcW w:w="2357" w:type="pct"/>
            <w:gridSpan w:val="2"/>
            <w:tcBorders>
              <w:top w:val="single" w:sz="4" w:space="0" w:color="auto"/>
              <w:bottom w:val="single" w:sz="4" w:space="0" w:color="auto"/>
            </w:tcBorders>
            <w:shd w:val="clear" w:color="auto" w:fill="auto"/>
            <w:vAlign w:val="center"/>
          </w:tcPr>
          <w:p w14:paraId="3F28060E" w14:textId="77777777" w:rsidR="002E112F" w:rsidRPr="002E112F" w:rsidRDefault="002E112F" w:rsidP="002E112F">
            <w:pPr>
              <w:rPr>
                <w:rFonts w:ascii="Times New Roman" w:hAnsi="Times New Roman" w:cs="Times New Roman"/>
                <w:b/>
                <w:bCs/>
                <w:sz w:val="20"/>
                <w:szCs w:val="20"/>
              </w:rPr>
            </w:pPr>
            <w:r w:rsidRPr="002E112F">
              <w:rPr>
                <w:rFonts w:ascii="Times New Roman" w:hAnsi="Times New Roman" w:cs="Times New Roman"/>
                <w:b/>
                <w:bCs/>
                <w:sz w:val="20"/>
                <w:szCs w:val="20"/>
              </w:rPr>
              <w:t>Policy Related &amp; Miscellaneous</w:t>
            </w:r>
          </w:p>
        </w:tc>
        <w:tc>
          <w:tcPr>
            <w:tcW w:w="2643" w:type="pct"/>
            <w:tcBorders>
              <w:top w:val="single" w:sz="4" w:space="0" w:color="auto"/>
              <w:bottom w:val="single" w:sz="4" w:space="0" w:color="auto"/>
            </w:tcBorders>
            <w:vAlign w:val="center"/>
          </w:tcPr>
          <w:p w14:paraId="7D7D17B5" w14:textId="77777777" w:rsidR="002E112F" w:rsidRPr="002E112F" w:rsidRDefault="002E112F" w:rsidP="002E112F">
            <w:pPr>
              <w:rPr>
                <w:rFonts w:ascii="Times New Roman" w:hAnsi="Times New Roman" w:cs="Times New Roman"/>
                <w:b/>
                <w:bCs/>
                <w:sz w:val="20"/>
                <w:szCs w:val="20"/>
              </w:rPr>
            </w:pPr>
          </w:p>
        </w:tc>
      </w:tr>
      <w:tr w:rsidR="002E112F" w:rsidRPr="002E112F" w14:paraId="76DA7AD6" w14:textId="77777777" w:rsidTr="00D7716F">
        <w:trPr>
          <w:trHeight w:val="288"/>
        </w:trPr>
        <w:tc>
          <w:tcPr>
            <w:tcW w:w="2357" w:type="pct"/>
            <w:gridSpan w:val="2"/>
            <w:tcBorders>
              <w:top w:val="single" w:sz="4" w:space="0" w:color="auto"/>
            </w:tcBorders>
            <w:shd w:val="clear" w:color="auto" w:fill="auto"/>
            <w:vAlign w:val="center"/>
          </w:tcPr>
          <w:p w14:paraId="74607F7A" w14:textId="77777777" w:rsidR="002E112F" w:rsidRPr="002E112F" w:rsidRDefault="002E112F" w:rsidP="002E112F">
            <w:pPr>
              <w:ind w:left="341"/>
              <w:rPr>
                <w:rFonts w:ascii="Times New Roman" w:hAnsi="Times New Roman" w:cs="Times New Roman"/>
                <w:sz w:val="20"/>
                <w:szCs w:val="20"/>
              </w:rPr>
            </w:pPr>
            <w:r w:rsidRPr="002E112F">
              <w:rPr>
                <w:rFonts w:ascii="Times New Roman" w:hAnsi="Times New Roman" w:cs="Times New Roman"/>
                <w:sz w:val="20"/>
                <w:szCs w:val="20"/>
              </w:rPr>
              <w:t xml:space="preserve">General reference </w:t>
            </w:r>
          </w:p>
        </w:tc>
        <w:tc>
          <w:tcPr>
            <w:tcW w:w="2643" w:type="pct"/>
            <w:vMerge w:val="restart"/>
            <w:tcBorders>
              <w:top w:val="single" w:sz="4" w:space="0" w:color="auto"/>
            </w:tcBorders>
            <w:vAlign w:val="center"/>
          </w:tcPr>
          <w:p w14:paraId="35075F29" w14:textId="77777777" w:rsidR="002E112F" w:rsidRPr="002E112F" w:rsidRDefault="002E112F" w:rsidP="002E112F">
            <w:pPr>
              <w:rPr>
                <w:rFonts w:ascii="Times New Roman" w:hAnsi="Times New Roman" w:cs="Times New Roman"/>
                <w:sz w:val="20"/>
                <w:szCs w:val="20"/>
                <w:highlight w:val="yellow"/>
              </w:rPr>
            </w:pPr>
            <w:r w:rsidRPr="002E112F">
              <w:rPr>
                <w:rFonts w:ascii="Times New Roman" w:hAnsi="Times New Roman" w:cs="Times New Roman"/>
                <w:sz w:val="20"/>
                <w:szCs w:val="20"/>
              </w:rPr>
              <w:t>Allen (2010); Anievas &amp; Saull (2019); Byman &amp; Kroenig (2016); Duffy Toft (2007); Hafner-Burton et al., 2017 (</w:t>
            </w:r>
            <w:r w:rsidRPr="002E112F">
              <w:rPr>
                <w:rFonts w:ascii="Times New Roman" w:hAnsi="Times New Roman" w:cs="Times New Roman"/>
                <w:i/>
                <w:iCs/>
                <w:sz w:val="20"/>
                <w:szCs w:val="20"/>
              </w:rPr>
              <w:t>unexpected policy/political events</w:t>
            </w:r>
            <w:r w:rsidRPr="002E112F">
              <w:rPr>
                <w:rFonts w:ascii="Times New Roman" w:hAnsi="Times New Roman" w:cs="Times New Roman"/>
                <w:sz w:val="20"/>
                <w:szCs w:val="20"/>
              </w:rPr>
              <w:t>); Hagen (2001); Johansson &amp; Sarwari (2017); Kahler (2018); Knutsen et al. (2017); Koch (2009); Linke et al. (2015); Parkinson (2013); Peters (2019); Reus-Smit (2011); Sambanis &amp; Shavo (2013);</w:t>
            </w:r>
            <w:r w:rsidRPr="002E112F">
              <w:rPr>
                <w:sz w:val="20"/>
                <w:szCs w:val="20"/>
              </w:rPr>
              <w:t xml:space="preserve"> </w:t>
            </w:r>
            <w:r w:rsidRPr="002E112F">
              <w:rPr>
                <w:rFonts w:ascii="Times New Roman" w:hAnsi="Times New Roman" w:cs="Times New Roman"/>
                <w:sz w:val="20"/>
                <w:szCs w:val="20"/>
              </w:rPr>
              <w:t>Sobek &amp; Payne (2010)</w:t>
            </w:r>
          </w:p>
        </w:tc>
      </w:tr>
      <w:tr w:rsidR="002E112F" w:rsidRPr="002E112F" w14:paraId="6C59915B" w14:textId="77777777" w:rsidTr="00D7716F">
        <w:trPr>
          <w:trHeight w:val="288"/>
        </w:trPr>
        <w:tc>
          <w:tcPr>
            <w:tcW w:w="2357" w:type="pct"/>
            <w:gridSpan w:val="2"/>
            <w:shd w:val="clear" w:color="auto" w:fill="auto"/>
            <w:vAlign w:val="center"/>
          </w:tcPr>
          <w:p w14:paraId="36A766DE" w14:textId="77777777" w:rsidR="002E112F" w:rsidRPr="002E112F" w:rsidRDefault="002E112F" w:rsidP="002E112F">
            <w:pPr>
              <w:ind w:left="341"/>
              <w:rPr>
                <w:rFonts w:ascii="Times New Roman" w:hAnsi="Times New Roman" w:cs="Times New Roman"/>
                <w:sz w:val="20"/>
                <w:szCs w:val="20"/>
              </w:rPr>
            </w:pPr>
            <w:r w:rsidRPr="002E112F">
              <w:rPr>
                <w:rFonts w:ascii="Times New Roman" w:hAnsi="Times New Roman" w:cs="Times New Roman"/>
                <w:sz w:val="20"/>
                <w:szCs w:val="20"/>
              </w:rPr>
              <w:t>Policy failures (e.g., Iraq)</w:t>
            </w:r>
          </w:p>
        </w:tc>
        <w:tc>
          <w:tcPr>
            <w:tcW w:w="2643" w:type="pct"/>
            <w:vMerge/>
            <w:vAlign w:val="center"/>
          </w:tcPr>
          <w:p w14:paraId="4F2227B1" w14:textId="77777777" w:rsidR="002E112F" w:rsidRPr="002E112F" w:rsidRDefault="002E112F" w:rsidP="002E112F">
            <w:pPr>
              <w:rPr>
                <w:rFonts w:ascii="Times New Roman" w:hAnsi="Times New Roman" w:cs="Times New Roman"/>
                <w:sz w:val="20"/>
                <w:szCs w:val="20"/>
                <w:highlight w:val="yellow"/>
              </w:rPr>
            </w:pPr>
          </w:p>
        </w:tc>
      </w:tr>
      <w:tr w:rsidR="002E112F" w:rsidRPr="002E112F" w14:paraId="0756A09C" w14:textId="77777777" w:rsidTr="00D7716F">
        <w:trPr>
          <w:trHeight w:val="288"/>
        </w:trPr>
        <w:tc>
          <w:tcPr>
            <w:tcW w:w="2357" w:type="pct"/>
            <w:gridSpan w:val="2"/>
            <w:shd w:val="clear" w:color="auto" w:fill="auto"/>
            <w:vAlign w:val="center"/>
          </w:tcPr>
          <w:p w14:paraId="432A4B04" w14:textId="77777777" w:rsidR="002E112F" w:rsidRPr="002E112F" w:rsidRDefault="002E112F" w:rsidP="002E112F">
            <w:pPr>
              <w:ind w:left="341"/>
              <w:rPr>
                <w:rFonts w:ascii="Times New Roman" w:hAnsi="Times New Roman" w:cs="Times New Roman"/>
                <w:sz w:val="20"/>
                <w:szCs w:val="20"/>
              </w:rPr>
            </w:pPr>
            <w:r w:rsidRPr="002E112F">
              <w:rPr>
                <w:rFonts w:ascii="Times New Roman" w:hAnsi="Times New Roman" w:cs="Times New Roman"/>
                <w:sz w:val="20"/>
                <w:szCs w:val="20"/>
              </w:rPr>
              <w:t xml:space="preserve">Controversial, Negative, Unexpected Electoral Outcomes; </w:t>
            </w:r>
          </w:p>
          <w:p w14:paraId="488CB524" w14:textId="77777777" w:rsidR="002E112F" w:rsidRPr="002E112F" w:rsidRDefault="002E112F" w:rsidP="002E112F">
            <w:pPr>
              <w:ind w:left="521"/>
              <w:rPr>
                <w:rFonts w:ascii="Times New Roman" w:hAnsi="Times New Roman" w:cs="Times New Roman"/>
                <w:sz w:val="20"/>
                <w:szCs w:val="20"/>
              </w:rPr>
            </w:pPr>
            <w:r w:rsidRPr="002E112F">
              <w:rPr>
                <w:rFonts w:ascii="Times New Roman" w:hAnsi="Times New Roman" w:cs="Times New Roman"/>
                <w:sz w:val="20"/>
                <w:szCs w:val="20"/>
              </w:rPr>
              <w:t>Brexit Victory; Trump victory</w:t>
            </w:r>
          </w:p>
        </w:tc>
        <w:tc>
          <w:tcPr>
            <w:tcW w:w="2643" w:type="pct"/>
            <w:vMerge/>
            <w:vAlign w:val="center"/>
          </w:tcPr>
          <w:p w14:paraId="590DF401" w14:textId="77777777" w:rsidR="002E112F" w:rsidRPr="002E112F" w:rsidRDefault="002E112F" w:rsidP="002E112F">
            <w:pPr>
              <w:rPr>
                <w:rFonts w:ascii="Times New Roman" w:hAnsi="Times New Roman" w:cs="Times New Roman"/>
                <w:sz w:val="20"/>
                <w:szCs w:val="20"/>
                <w:highlight w:val="yellow"/>
              </w:rPr>
            </w:pPr>
          </w:p>
        </w:tc>
      </w:tr>
      <w:tr w:rsidR="002E112F" w:rsidRPr="002E112F" w14:paraId="53B406E2" w14:textId="77777777" w:rsidTr="00D7716F">
        <w:trPr>
          <w:trHeight w:val="288"/>
        </w:trPr>
        <w:tc>
          <w:tcPr>
            <w:tcW w:w="2357" w:type="pct"/>
            <w:gridSpan w:val="2"/>
            <w:vAlign w:val="center"/>
          </w:tcPr>
          <w:p w14:paraId="215C36C6" w14:textId="77777777" w:rsidR="002E112F" w:rsidRPr="002E112F" w:rsidRDefault="002E112F" w:rsidP="002E112F">
            <w:pPr>
              <w:ind w:left="341"/>
              <w:rPr>
                <w:rFonts w:ascii="Times New Roman" w:hAnsi="Times New Roman" w:cs="Times New Roman"/>
                <w:sz w:val="20"/>
                <w:szCs w:val="20"/>
              </w:rPr>
            </w:pPr>
            <w:r w:rsidRPr="002E112F">
              <w:rPr>
                <w:rFonts w:ascii="Times New Roman" w:hAnsi="Times New Roman" w:cs="Times New Roman"/>
                <w:sz w:val="20"/>
                <w:szCs w:val="20"/>
              </w:rPr>
              <w:t xml:space="preserve">Immigration flight; refugee influx; Demographic shocks </w:t>
            </w:r>
          </w:p>
        </w:tc>
        <w:tc>
          <w:tcPr>
            <w:tcW w:w="2643" w:type="pct"/>
            <w:vMerge/>
            <w:vAlign w:val="center"/>
          </w:tcPr>
          <w:p w14:paraId="69AE02F3" w14:textId="77777777" w:rsidR="002E112F" w:rsidRPr="002E112F" w:rsidRDefault="002E112F" w:rsidP="002E112F">
            <w:pPr>
              <w:rPr>
                <w:rFonts w:ascii="Times New Roman" w:hAnsi="Times New Roman" w:cs="Times New Roman"/>
                <w:sz w:val="20"/>
                <w:szCs w:val="20"/>
                <w:highlight w:val="yellow"/>
              </w:rPr>
            </w:pPr>
          </w:p>
        </w:tc>
      </w:tr>
      <w:tr w:rsidR="002E112F" w:rsidRPr="002E112F" w14:paraId="73D349E8" w14:textId="77777777" w:rsidTr="00D7716F">
        <w:trPr>
          <w:trHeight w:val="288"/>
        </w:trPr>
        <w:tc>
          <w:tcPr>
            <w:tcW w:w="2357" w:type="pct"/>
            <w:gridSpan w:val="2"/>
            <w:vAlign w:val="center"/>
          </w:tcPr>
          <w:p w14:paraId="3C78E771" w14:textId="77777777" w:rsidR="002E112F" w:rsidRPr="002E112F" w:rsidRDefault="002E112F" w:rsidP="002E112F">
            <w:pPr>
              <w:ind w:left="341"/>
              <w:rPr>
                <w:rFonts w:ascii="Times New Roman" w:hAnsi="Times New Roman" w:cs="Times New Roman"/>
                <w:sz w:val="20"/>
                <w:szCs w:val="20"/>
              </w:rPr>
            </w:pPr>
            <w:r w:rsidRPr="002E112F">
              <w:rPr>
                <w:rFonts w:ascii="Times New Roman" w:hAnsi="Times New Roman" w:cs="Times New Roman"/>
                <w:sz w:val="20"/>
                <w:szCs w:val="20"/>
              </w:rPr>
              <w:t>Interventions</w:t>
            </w:r>
          </w:p>
        </w:tc>
        <w:tc>
          <w:tcPr>
            <w:tcW w:w="2643" w:type="pct"/>
            <w:vMerge/>
            <w:vAlign w:val="center"/>
          </w:tcPr>
          <w:p w14:paraId="05539DA4" w14:textId="77777777" w:rsidR="002E112F" w:rsidRPr="002E112F" w:rsidRDefault="002E112F" w:rsidP="002E112F">
            <w:pPr>
              <w:rPr>
                <w:rFonts w:ascii="Times New Roman" w:hAnsi="Times New Roman" w:cs="Times New Roman"/>
                <w:sz w:val="20"/>
                <w:szCs w:val="20"/>
                <w:highlight w:val="yellow"/>
              </w:rPr>
            </w:pPr>
          </w:p>
        </w:tc>
      </w:tr>
      <w:tr w:rsidR="002E112F" w:rsidRPr="002E112F" w14:paraId="0D8FAB62" w14:textId="77777777" w:rsidTr="00D7716F">
        <w:trPr>
          <w:trHeight w:val="288"/>
        </w:trPr>
        <w:tc>
          <w:tcPr>
            <w:tcW w:w="2357" w:type="pct"/>
            <w:gridSpan w:val="2"/>
            <w:vAlign w:val="center"/>
          </w:tcPr>
          <w:p w14:paraId="0BC7455E" w14:textId="77777777" w:rsidR="002E112F" w:rsidRPr="002E112F" w:rsidRDefault="002E112F" w:rsidP="002E112F">
            <w:pPr>
              <w:ind w:left="341"/>
              <w:rPr>
                <w:rFonts w:ascii="Times New Roman" w:hAnsi="Times New Roman" w:cs="Times New Roman"/>
                <w:sz w:val="20"/>
                <w:szCs w:val="20"/>
              </w:rPr>
            </w:pPr>
            <w:r w:rsidRPr="002E112F">
              <w:rPr>
                <w:rFonts w:ascii="Times New Roman" w:hAnsi="Times New Roman" w:cs="Times New Roman"/>
                <w:sz w:val="20"/>
                <w:szCs w:val="20"/>
              </w:rPr>
              <w:t>Invasions</w:t>
            </w:r>
          </w:p>
          <w:p w14:paraId="76BCD2D4" w14:textId="77777777" w:rsidR="002E112F" w:rsidRPr="002E112F" w:rsidRDefault="002E112F" w:rsidP="002E112F">
            <w:pPr>
              <w:ind w:left="521"/>
              <w:rPr>
                <w:rFonts w:ascii="Times New Roman" w:hAnsi="Times New Roman" w:cs="Times New Roman"/>
                <w:sz w:val="20"/>
                <w:szCs w:val="20"/>
              </w:rPr>
            </w:pPr>
            <w:r w:rsidRPr="002E112F">
              <w:rPr>
                <w:rFonts w:ascii="Times New Roman" w:hAnsi="Times New Roman" w:cs="Times New Roman"/>
                <w:sz w:val="20"/>
                <w:szCs w:val="20"/>
              </w:rPr>
              <w:t>General reference</w:t>
            </w:r>
          </w:p>
          <w:p w14:paraId="44F10B3F" w14:textId="77777777" w:rsidR="002E112F" w:rsidRPr="002E112F" w:rsidRDefault="002E112F" w:rsidP="002E112F">
            <w:pPr>
              <w:ind w:left="521"/>
              <w:rPr>
                <w:rFonts w:ascii="Times New Roman" w:hAnsi="Times New Roman" w:cs="Times New Roman"/>
                <w:sz w:val="20"/>
                <w:szCs w:val="20"/>
              </w:rPr>
            </w:pPr>
            <w:r w:rsidRPr="002E112F">
              <w:rPr>
                <w:rFonts w:ascii="Times New Roman" w:hAnsi="Times New Roman" w:cs="Times New Roman"/>
                <w:sz w:val="20"/>
                <w:szCs w:val="20"/>
              </w:rPr>
              <w:t>Napoleon taking of Spain; Falklands Invasion; Israeli Defenses in Lebanon 1982</w:t>
            </w:r>
          </w:p>
        </w:tc>
        <w:tc>
          <w:tcPr>
            <w:tcW w:w="2643" w:type="pct"/>
            <w:vMerge/>
            <w:vAlign w:val="center"/>
          </w:tcPr>
          <w:p w14:paraId="6E495004" w14:textId="77777777" w:rsidR="002E112F" w:rsidRPr="002E112F" w:rsidRDefault="002E112F" w:rsidP="002E112F">
            <w:pPr>
              <w:rPr>
                <w:rFonts w:ascii="Times New Roman" w:hAnsi="Times New Roman" w:cs="Times New Roman"/>
                <w:sz w:val="20"/>
                <w:szCs w:val="20"/>
                <w:highlight w:val="yellow"/>
              </w:rPr>
            </w:pPr>
          </w:p>
        </w:tc>
      </w:tr>
      <w:tr w:rsidR="002E112F" w:rsidRPr="002E112F" w14:paraId="67EC62BF" w14:textId="77777777" w:rsidTr="00D7716F">
        <w:trPr>
          <w:trHeight w:val="20"/>
        </w:trPr>
        <w:tc>
          <w:tcPr>
            <w:tcW w:w="1736" w:type="pct"/>
            <w:tcBorders>
              <w:bottom w:val="single" w:sz="4" w:space="0" w:color="auto"/>
            </w:tcBorders>
            <w:vAlign w:val="center"/>
          </w:tcPr>
          <w:p w14:paraId="5BAE80E1" w14:textId="77777777" w:rsidR="002E112F" w:rsidRPr="002E112F" w:rsidRDefault="002E112F" w:rsidP="002E112F"/>
        </w:tc>
        <w:tc>
          <w:tcPr>
            <w:tcW w:w="621" w:type="pct"/>
            <w:tcBorders>
              <w:bottom w:val="single" w:sz="4" w:space="0" w:color="auto"/>
            </w:tcBorders>
            <w:vAlign w:val="center"/>
          </w:tcPr>
          <w:p w14:paraId="50930D02" w14:textId="77777777" w:rsidR="002E112F" w:rsidRPr="002E112F" w:rsidRDefault="002E112F" w:rsidP="002E112F"/>
        </w:tc>
        <w:tc>
          <w:tcPr>
            <w:tcW w:w="2643" w:type="pct"/>
            <w:tcBorders>
              <w:bottom w:val="single" w:sz="4" w:space="0" w:color="auto"/>
            </w:tcBorders>
            <w:vAlign w:val="center"/>
          </w:tcPr>
          <w:p w14:paraId="3466D454" w14:textId="77777777" w:rsidR="002E112F" w:rsidRPr="002E112F" w:rsidRDefault="002E112F" w:rsidP="002E112F"/>
        </w:tc>
      </w:tr>
      <w:tr w:rsidR="002E112F" w:rsidRPr="002E112F" w14:paraId="466FF605" w14:textId="77777777" w:rsidTr="00D7716F">
        <w:trPr>
          <w:trHeight w:val="288"/>
        </w:trPr>
        <w:tc>
          <w:tcPr>
            <w:tcW w:w="1736" w:type="pct"/>
            <w:tcBorders>
              <w:top w:val="single" w:sz="4" w:space="0" w:color="auto"/>
              <w:bottom w:val="single" w:sz="4" w:space="0" w:color="auto"/>
            </w:tcBorders>
            <w:vAlign w:val="center"/>
          </w:tcPr>
          <w:p w14:paraId="7295171F" w14:textId="77777777" w:rsidR="002E112F" w:rsidRPr="002E112F" w:rsidRDefault="002E112F" w:rsidP="002E112F">
            <w:pPr>
              <w:spacing w:line="276" w:lineRule="auto"/>
              <w:rPr>
                <w:rFonts w:ascii="Times New Roman" w:hAnsi="Times New Roman" w:cs="Times New Roman"/>
                <w:b/>
                <w:bCs/>
                <w:sz w:val="20"/>
                <w:szCs w:val="20"/>
              </w:rPr>
            </w:pPr>
            <w:r w:rsidRPr="002E112F">
              <w:rPr>
                <w:rFonts w:ascii="Times New Roman" w:hAnsi="Times New Roman" w:cs="Times New Roman"/>
                <w:b/>
                <w:bCs/>
                <w:sz w:val="20"/>
                <w:szCs w:val="20"/>
              </w:rPr>
              <w:t>Power/State/System</w:t>
            </w:r>
          </w:p>
        </w:tc>
        <w:tc>
          <w:tcPr>
            <w:tcW w:w="621" w:type="pct"/>
            <w:tcBorders>
              <w:top w:val="single" w:sz="4" w:space="0" w:color="auto"/>
              <w:bottom w:val="single" w:sz="4" w:space="0" w:color="auto"/>
            </w:tcBorders>
            <w:vAlign w:val="center"/>
          </w:tcPr>
          <w:p w14:paraId="5CA4E304" w14:textId="77777777" w:rsidR="002E112F" w:rsidRPr="002E112F" w:rsidRDefault="002E112F" w:rsidP="002E112F">
            <w:pPr>
              <w:rPr>
                <w:rFonts w:ascii="Times New Roman" w:hAnsi="Times New Roman" w:cs="Times New Roman"/>
                <w:sz w:val="20"/>
                <w:szCs w:val="20"/>
              </w:rPr>
            </w:pPr>
          </w:p>
        </w:tc>
        <w:tc>
          <w:tcPr>
            <w:tcW w:w="2643" w:type="pct"/>
            <w:tcBorders>
              <w:top w:val="single" w:sz="4" w:space="0" w:color="auto"/>
              <w:bottom w:val="single" w:sz="4" w:space="0" w:color="auto"/>
            </w:tcBorders>
            <w:vAlign w:val="center"/>
          </w:tcPr>
          <w:p w14:paraId="3CA5F9E1" w14:textId="77777777" w:rsidR="002E112F" w:rsidRPr="002E112F" w:rsidRDefault="002E112F" w:rsidP="002E112F">
            <w:pPr>
              <w:rPr>
                <w:rFonts w:ascii="Times New Roman" w:hAnsi="Times New Roman" w:cs="Times New Roman"/>
                <w:sz w:val="20"/>
                <w:szCs w:val="20"/>
              </w:rPr>
            </w:pPr>
          </w:p>
        </w:tc>
      </w:tr>
      <w:tr w:rsidR="002E112F" w:rsidRPr="002E112F" w14:paraId="3E9BBFAE" w14:textId="77777777" w:rsidTr="00D7716F">
        <w:trPr>
          <w:trHeight w:val="288"/>
        </w:trPr>
        <w:tc>
          <w:tcPr>
            <w:tcW w:w="2357" w:type="pct"/>
            <w:gridSpan w:val="2"/>
            <w:tcBorders>
              <w:top w:val="single" w:sz="4" w:space="0" w:color="auto"/>
            </w:tcBorders>
            <w:vAlign w:val="center"/>
          </w:tcPr>
          <w:p w14:paraId="503DEA05" w14:textId="77777777" w:rsidR="002E112F" w:rsidRPr="002E112F" w:rsidRDefault="002E112F" w:rsidP="002E112F">
            <w:pPr>
              <w:ind w:left="341"/>
              <w:rPr>
                <w:rFonts w:ascii="Times New Roman" w:hAnsi="Times New Roman" w:cs="Times New Roman"/>
                <w:sz w:val="20"/>
                <w:szCs w:val="20"/>
              </w:rPr>
            </w:pPr>
            <w:r w:rsidRPr="002E112F">
              <w:rPr>
                <w:rFonts w:ascii="Times New Roman" w:hAnsi="Times New Roman" w:cs="Times New Roman"/>
                <w:sz w:val="20"/>
                <w:szCs w:val="20"/>
              </w:rPr>
              <w:t>General power distribution changes</w:t>
            </w:r>
          </w:p>
        </w:tc>
        <w:tc>
          <w:tcPr>
            <w:tcW w:w="2643" w:type="pct"/>
            <w:vMerge w:val="restart"/>
            <w:tcBorders>
              <w:top w:val="single" w:sz="4" w:space="0" w:color="auto"/>
            </w:tcBorders>
            <w:vAlign w:val="center"/>
          </w:tcPr>
          <w:p w14:paraId="7247913D" w14:textId="77777777" w:rsidR="002E112F" w:rsidRPr="002E112F" w:rsidRDefault="002E112F" w:rsidP="002E112F">
            <w:pPr>
              <w:rPr>
                <w:rFonts w:ascii="Times New Roman" w:hAnsi="Times New Roman" w:cs="Times New Roman"/>
                <w:sz w:val="20"/>
                <w:szCs w:val="20"/>
                <w:highlight w:val="yellow"/>
              </w:rPr>
            </w:pPr>
            <w:r w:rsidRPr="002E112F">
              <w:rPr>
                <w:rFonts w:ascii="Times New Roman" w:hAnsi="Times New Roman" w:cs="Times New Roman"/>
                <w:sz w:val="20"/>
                <w:szCs w:val="20"/>
              </w:rPr>
              <w:t>Carlin &amp; Love (2016); Christensen (2006); Fettweis (2004); Florea (2012); Goddard (2006); Goertz &amp; Diehl (1995); Hudson &amp; Vore (1995); Iqbal &amp; Zorn (2008); Kalyvas &amp; Balcells (2010); Licht &amp; Allen (2018); Maoz (2009); Maoz &amp; Somer-Topcu (2010); Sinha (2018); Streeck &amp; Thelen (2005)</w:t>
            </w:r>
          </w:p>
        </w:tc>
      </w:tr>
      <w:tr w:rsidR="002E112F" w:rsidRPr="002E112F" w14:paraId="1A5C749B" w14:textId="77777777" w:rsidTr="00D7716F">
        <w:trPr>
          <w:trHeight w:val="288"/>
        </w:trPr>
        <w:tc>
          <w:tcPr>
            <w:tcW w:w="2357" w:type="pct"/>
            <w:gridSpan w:val="2"/>
            <w:vAlign w:val="center"/>
          </w:tcPr>
          <w:p w14:paraId="78154D0D" w14:textId="77777777" w:rsidR="002E112F" w:rsidRPr="002E112F" w:rsidRDefault="002E112F" w:rsidP="002E112F">
            <w:pPr>
              <w:ind w:left="341"/>
              <w:rPr>
                <w:rFonts w:ascii="Times New Roman" w:hAnsi="Times New Roman" w:cs="Times New Roman"/>
                <w:sz w:val="20"/>
                <w:szCs w:val="20"/>
              </w:rPr>
            </w:pPr>
            <w:r w:rsidRPr="002E112F">
              <w:rPr>
                <w:rFonts w:ascii="Times New Roman" w:hAnsi="Times New Roman" w:cs="Times New Roman"/>
                <w:sz w:val="20"/>
                <w:szCs w:val="20"/>
              </w:rPr>
              <w:t>End of the Cold War</w:t>
            </w:r>
          </w:p>
        </w:tc>
        <w:tc>
          <w:tcPr>
            <w:tcW w:w="2643" w:type="pct"/>
            <w:vMerge/>
            <w:vAlign w:val="center"/>
          </w:tcPr>
          <w:p w14:paraId="6439D991" w14:textId="77777777" w:rsidR="002E112F" w:rsidRPr="002E112F" w:rsidRDefault="002E112F" w:rsidP="002E112F">
            <w:pPr>
              <w:rPr>
                <w:rFonts w:ascii="Times New Roman" w:hAnsi="Times New Roman" w:cs="Times New Roman"/>
                <w:sz w:val="20"/>
                <w:szCs w:val="20"/>
                <w:highlight w:val="yellow"/>
              </w:rPr>
            </w:pPr>
          </w:p>
        </w:tc>
      </w:tr>
      <w:tr w:rsidR="002E112F" w:rsidRPr="002E112F" w14:paraId="7BB71212" w14:textId="77777777" w:rsidTr="00D7716F">
        <w:trPr>
          <w:trHeight w:val="288"/>
        </w:trPr>
        <w:tc>
          <w:tcPr>
            <w:tcW w:w="2357" w:type="pct"/>
            <w:gridSpan w:val="2"/>
            <w:vAlign w:val="center"/>
          </w:tcPr>
          <w:p w14:paraId="67F22B7C" w14:textId="77777777" w:rsidR="002E112F" w:rsidRPr="002E112F" w:rsidRDefault="002E112F" w:rsidP="002E112F">
            <w:pPr>
              <w:ind w:left="341"/>
              <w:rPr>
                <w:rFonts w:ascii="Times New Roman" w:hAnsi="Times New Roman" w:cs="Times New Roman"/>
                <w:sz w:val="20"/>
                <w:szCs w:val="20"/>
              </w:rPr>
            </w:pPr>
            <w:r w:rsidRPr="002E112F">
              <w:rPr>
                <w:rFonts w:ascii="Times New Roman" w:hAnsi="Times New Roman" w:cs="Times New Roman"/>
                <w:sz w:val="20"/>
                <w:szCs w:val="20"/>
              </w:rPr>
              <w:t>State collapse/formation; independence</w:t>
            </w:r>
          </w:p>
          <w:p w14:paraId="507B1155" w14:textId="77777777" w:rsidR="002E112F" w:rsidRPr="002E112F" w:rsidRDefault="002E112F" w:rsidP="002E112F">
            <w:pPr>
              <w:ind w:left="521"/>
              <w:rPr>
                <w:rFonts w:ascii="Times New Roman" w:hAnsi="Times New Roman" w:cs="Times New Roman"/>
                <w:sz w:val="20"/>
                <w:szCs w:val="20"/>
              </w:rPr>
            </w:pPr>
            <w:r w:rsidRPr="002E112F">
              <w:rPr>
                <w:rFonts w:ascii="Times New Roman" w:hAnsi="Times New Roman" w:cs="Times New Roman"/>
                <w:sz w:val="20"/>
                <w:szCs w:val="20"/>
              </w:rPr>
              <w:t>Milosevic regime; Soviet collapse; territorial changes</w:t>
            </w:r>
          </w:p>
        </w:tc>
        <w:tc>
          <w:tcPr>
            <w:tcW w:w="2643" w:type="pct"/>
            <w:vMerge/>
            <w:vAlign w:val="center"/>
          </w:tcPr>
          <w:p w14:paraId="1C54C931" w14:textId="77777777" w:rsidR="002E112F" w:rsidRPr="002E112F" w:rsidRDefault="002E112F" w:rsidP="002E112F">
            <w:pPr>
              <w:rPr>
                <w:rFonts w:ascii="Times New Roman" w:hAnsi="Times New Roman" w:cs="Times New Roman"/>
                <w:sz w:val="20"/>
                <w:szCs w:val="20"/>
                <w:highlight w:val="yellow"/>
              </w:rPr>
            </w:pPr>
          </w:p>
        </w:tc>
      </w:tr>
      <w:tr w:rsidR="002E112F" w:rsidRPr="002E112F" w14:paraId="7A90D567" w14:textId="77777777" w:rsidTr="00D7716F">
        <w:trPr>
          <w:trHeight w:val="288"/>
        </w:trPr>
        <w:tc>
          <w:tcPr>
            <w:tcW w:w="2357" w:type="pct"/>
            <w:gridSpan w:val="2"/>
            <w:vAlign w:val="center"/>
          </w:tcPr>
          <w:p w14:paraId="393D425D" w14:textId="77777777" w:rsidR="002E112F" w:rsidRPr="002E112F" w:rsidRDefault="002E112F" w:rsidP="002E112F">
            <w:pPr>
              <w:ind w:left="341"/>
              <w:rPr>
                <w:rFonts w:ascii="Times New Roman" w:hAnsi="Times New Roman" w:cs="Times New Roman"/>
                <w:sz w:val="20"/>
                <w:szCs w:val="20"/>
              </w:rPr>
            </w:pPr>
            <w:r w:rsidRPr="002E112F">
              <w:rPr>
                <w:rFonts w:ascii="Times New Roman" w:hAnsi="Times New Roman" w:cs="Times New Roman"/>
                <w:sz w:val="20"/>
                <w:szCs w:val="20"/>
              </w:rPr>
              <w:t xml:space="preserve">Regime Change </w:t>
            </w:r>
          </w:p>
          <w:p w14:paraId="7E27AD24" w14:textId="77777777" w:rsidR="002E112F" w:rsidRPr="002E112F" w:rsidRDefault="002E112F" w:rsidP="002E112F">
            <w:pPr>
              <w:ind w:left="521"/>
              <w:rPr>
                <w:rFonts w:ascii="Times New Roman" w:hAnsi="Times New Roman" w:cs="Times New Roman"/>
                <w:sz w:val="20"/>
                <w:szCs w:val="20"/>
              </w:rPr>
            </w:pPr>
            <w:r w:rsidRPr="002E112F">
              <w:rPr>
                <w:rFonts w:ascii="Times New Roman" w:hAnsi="Times New Roman" w:cs="Times New Roman"/>
                <w:sz w:val="20"/>
                <w:szCs w:val="20"/>
              </w:rPr>
              <w:t>Dramatic political &amp; leadership change</w:t>
            </w:r>
          </w:p>
          <w:p w14:paraId="532A4998" w14:textId="77777777" w:rsidR="002E112F" w:rsidRPr="002E112F" w:rsidRDefault="002E112F" w:rsidP="002E112F">
            <w:pPr>
              <w:ind w:left="698"/>
              <w:rPr>
                <w:rFonts w:ascii="Times New Roman" w:hAnsi="Times New Roman" w:cs="Times New Roman"/>
                <w:sz w:val="20"/>
                <w:szCs w:val="20"/>
              </w:rPr>
            </w:pPr>
            <w:r w:rsidRPr="002E112F">
              <w:rPr>
                <w:rFonts w:ascii="Times New Roman" w:hAnsi="Times New Roman" w:cs="Times New Roman"/>
                <w:sz w:val="20"/>
                <w:szCs w:val="20"/>
              </w:rPr>
              <w:t>Death of leaders (incl. assassinations)</w:t>
            </w:r>
          </w:p>
          <w:p w14:paraId="18562E74" w14:textId="77777777" w:rsidR="002E112F" w:rsidRPr="002E112F" w:rsidRDefault="002E112F" w:rsidP="002E112F">
            <w:pPr>
              <w:ind w:left="521"/>
              <w:rPr>
                <w:rFonts w:ascii="Times New Roman" w:hAnsi="Times New Roman" w:cs="Times New Roman"/>
                <w:sz w:val="20"/>
                <w:szCs w:val="20"/>
              </w:rPr>
            </w:pPr>
            <w:r w:rsidRPr="002E112F">
              <w:rPr>
                <w:rFonts w:ascii="Times New Roman" w:hAnsi="Times New Roman" w:cs="Times New Roman"/>
                <w:sz w:val="20"/>
                <w:szCs w:val="20"/>
              </w:rPr>
              <w:t xml:space="preserve">Executive turnover </w:t>
            </w:r>
          </w:p>
        </w:tc>
        <w:tc>
          <w:tcPr>
            <w:tcW w:w="2643" w:type="pct"/>
            <w:vMerge/>
            <w:vAlign w:val="center"/>
          </w:tcPr>
          <w:p w14:paraId="3D40D0A3" w14:textId="77777777" w:rsidR="002E112F" w:rsidRPr="002E112F" w:rsidRDefault="002E112F" w:rsidP="002E112F">
            <w:pPr>
              <w:rPr>
                <w:rFonts w:ascii="Times New Roman" w:hAnsi="Times New Roman" w:cs="Times New Roman"/>
                <w:sz w:val="20"/>
                <w:szCs w:val="20"/>
                <w:highlight w:val="yellow"/>
              </w:rPr>
            </w:pPr>
          </w:p>
        </w:tc>
      </w:tr>
      <w:tr w:rsidR="002E112F" w:rsidRPr="002E112F" w14:paraId="1E080103" w14:textId="77777777" w:rsidTr="00D7716F">
        <w:trPr>
          <w:trHeight w:val="144"/>
        </w:trPr>
        <w:tc>
          <w:tcPr>
            <w:tcW w:w="1736" w:type="pct"/>
            <w:tcBorders>
              <w:bottom w:val="single" w:sz="4" w:space="0" w:color="auto"/>
            </w:tcBorders>
          </w:tcPr>
          <w:p w14:paraId="2157C89B" w14:textId="77777777" w:rsidR="002E112F" w:rsidRPr="002E112F" w:rsidRDefault="002E112F" w:rsidP="002E112F">
            <w:pPr>
              <w:rPr>
                <w:sz w:val="20"/>
                <w:szCs w:val="20"/>
              </w:rPr>
            </w:pPr>
          </w:p>
        </w:tc>
        <w:tc>
          <w:tcPr>
            <w:tcW w:w="621" w:type="pct"/>
            <w:tcBorders>
              <w:bottom w:val="single" w:sz="4" w:space="0" w:color="auto"/>
            </w:tcBorders>
          </w:tcPr>
          <w:p w14:paraId="3FB7A346" w14:textId="77777777" w:rsidR="002E112F" w:rsidRPr="002E112F" w:rsidRDefault="002E112F" w:rsidP="002E112F">
            <w:pPr>
              <w:rPr>
                <w:sz w:val="20"/>
                <w:szCs w:val="20"/>
                <w:highlight w:val="cyan"/>
              </w:rPr>
            </w:pPr>
          </w:p>
        </w:tc>
        <w:tc>
          <w:tcPr>
            <w:tcW w:w="2643" w:type="pct"/>
            <w:tcBorders>
              <w:bottom w:val="single" w:sz="4" w:space="0" w:color="auto"/>
            </w:tcBorders>
          </w:tcPr>
          <w:p w14:paraId="02FF7A6B" w14:textId="77777777" w:rsidR="002E112F" w:rsidRPr="002E112F" w:rsidRDefault="002E112F" w:rsidP="002E112F">
            <w:pPr>
              <w:rPr>
                <w:sz w:val="20"/>
                <w:szCs w:val="20"/>
                <w:highlight w:val="cyan"/>
              </w:rPr>
            </w:pPr>
          </w:p>
        </w:tc>
      </w:tr>
    </w:tbl>
    <w:bookmarkEnd w:id="2"/>
    <w:p w14:paraId="625C76C1" w14:textId="77777777" w:rsidR="00AD4130" w:rsidRDefault="007D7BB5" w:rsidP="0097592C">
      <w:pPr>
        <w:spacing w:line="480" w:lineRule="auto"/>
        <w:ind w:right="-180"/>
        <w:rPr>
          <w:rFonts w:ascii="Times New Roman" w:hAnsi="Times New Roman" w:cs="Times New Roman"/>
          <w:sz w:val="24"/>
          <w:szCs w:val="24"/>
        </w:rPr>
      </w:pPr>
      <w:r>
        <w:rPr>
          <w:rFonts w:ascii="Times New Roman" w:hAnsi="Times New Roman" w:cs="Times New Roman"/>
          <w:sz w:val="24"/>
          <w:szCs w:val="24"/>
        </w:rPr>
        <w:tab/>
      </w:r>
    </w:p>
    <w:p w14:paraId="26F2C431" w14:textId="088B482C" w:rsidR="00A761D5" w:rsidRDefault="00A761D5" w:rsidP="00266215">
      <w:pPr>
        <w:spacing w:line="480" w:lineRule="auto"/>
        <w:ind w:right="-180" w:firstLine="720"/>
        <w:rPr>
          <w:rFonts w:ascii="Times New Roman" w:hAnsi="Times New Roman" w:cs="Times New Roman"/>
          <w:sz w:val="24"/>
          <w:szCs w:val="24"/>
        </w:rPr>
      </w:pPr>
      <w:r>
        <w:rPr>
          <w:rFonts w:ascii="Times New Roman" w:hAnsi="Times New Roman" w:cs="Times New Roman"/>
          <w:sz w:val="24"/>
          <w:szCs w:val="24"/>
        </w:rPr>
        <w:t xml:space="preserve">The overarching commonality shared by most of these events is their </w:t>
      </w:r>
      <w:r w:rsidRPr="009A7F13">
        <w:rPr>
          <w:rFonts w:ascii="Times New Roman" w:hAnsi="Times New Roman" w:cs="Times New Roman"/>
          <w:i/>
          <w:iCs/>
          <w:sz w:val="24"/>
          <w:szCs w:val="24"/>
        </w:rPr>
        <w:t xml:space="preserve">potential </w:t>
      </w:r>
      <w:r>
        <w:rPr>
          <w:rFonts w:ascii="Times New Roman" w:hAnsi="Times New Roman" w:cs="Times New Roman"/>
          <w:sz w:val="24"/>
          <w:szCs w:val="24"/>
        </w:rPr>
        <w:t xml:space="preserve">to </w:t>
      </w:r>
      <w:r w:rsidR="000B4AA1">
        <w:rPr>
          <w:rFonts w:ascii="Times New Roman" w:hAnsi="Times New Roman" w:cs="Times New Roman"/>
          <w:sz w:val="24"/>
          <w:szCs w:val="24"/>
        </w:rPr>
        <w:t xml:space="preserve">disrupt the ongoing stability of a state’s policies or political processes </w:t>
      </w:r>
      <w:r>
        <w:rPr>
          <w:rFonts w:ascii="Times New Roman" w:hAnsi="Times New Roman" w:cs="Times New Roman"/>
          <w:sz w:val="24"/>
          <w:szCs w:val="24"/>
        </w:rPr>
        <w:t xml:space="preserve">(Lazarev 2019; Horowitz 2006; Imerman 2018; Colgan and Lucas 2017; Kaufman 1997). Whether or not they actually disrupt ongoing political processes and outcomes, however, may depend on a wide range of factors involving both the nature of the event and </w:t>
      </w:r>
      <w:r w:rsidR="00B40A23">
        <w:rPr>
          <w:rFonts w:ascii="Times New Roman" w:hAnsi="Times New Roman" w:cs="Times New Roman"/>
          <w:sz w:val="24"/>
          <w:szCs w:val="24"/>
        </w:rPr>
        <w:t xml:space="preserve">the vulnerability of </w:t>
      </w:r>
      <w:r w:rsidR="00AD02B5">
        <w:rPr>
          <w:rFonts w:ascii="Times New Roman" w:hAnsi="Times New Roman" w:cs="Times New Roman"/>
          <w:sz w:val="24"/>
          <w:szCs w:val="24"/>
        </w:rPr>
        <w:t xml:space="preserve">the </w:t>
      </w:r>
      <w:r w:rsidR="00B40A23">
        <w:rPr>
          <w:rFonts w:ascii="Times New Roman" w:hAnsi="Times New Roman" w:cs="Times New Roman"/>
          <w:sz w:val="24"/>
          <w:szCs w:val="24"/>
        </w:rPr>
        <w:t xml:space="preserve">actors impacted by the event. </w:t>
      </w:r>
    </w:p>
    <w:p w14:paraId="4D4F33B2" w14:textId="24F07D81" w:rsidR="008323A5" w:rsidRDefault="00A761D5" w:rsidP="00A761D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E4312">
        <w:rPr>
          <w:rFonts w:ascii="Times New Roman" w:hAnsi="Times New Roman" w:cs="Times New Roman"/>
          <w:sz w:val="24"/>
          <w:szCs w:val="24"/>
        </w:rPr>
        <w:t>T</w:t>
      </w:r>
      <w:r>
        <w:rPr>
          <w:rFonts w:ascii="Times New Roman" w:hAnsi="Times New Roman" w:cs="Times New Roman"/>
          <w:sz w:val="24"/>
          <w:szCs w:val="24"/>
        </w:rPr>
        <w:t>he events listed in Table 1 fit virtually a</w:t>
      </w:r>
      <w:r w:rsidR="002E4312">
        <w:rPr>
          <w:rFonts w:ascii="Times New Roman" w:hAnsi="Times New Roman" w:cs="Times New Roman"/>
          <w:sz w:val="24"/>
          <w:szCs w:val="24"/>
        </w:rPr>
        <w:t>ll</w:t>
      </w:r>
      <w:r>
        <w:rPr>
          <w:rFonts w:ascii="Times New Roman" w:hAnsi="Times New Roman" w:cs="Times New Roman"/>
          <w:sz w:val="24"/>
          <w:szCs w:val="24"/>
        </w:rPr>
        <w:t xml:space="preserve"> the characteristics of political shocks that we have noted above, yet, they constitute a political shock to some actors and not others. For instance, the sudden end of the Cold War was clearly a political shock for those actors deeply involved in the conflict but less so for many other states. The global financial crisis of 2008 or the oil “shocks” of the 1970s also have had differential effects on states, with some experiencing substantial shocks to their economies while others experienced minimal effects. </w:t>
      </w:r>
      <w:r w:rsidR="008323A5">
        <w:rPr>
          <w:rFonts w:ascii="Times New Roman" w:hAnsi="Times New Roman" w:cs="Times New Roman"/>
          <w:sz w:val="24"/>
          <w:szCs w:val="24"/>
        </w:rPr>
        <w:t xml:space="preserve">Additionally, intrastate or civil wars have been identified by various studies as political shocks (Hegre et al. 2017; Bruck et al. 2012; Morey 2011; Kang and Meernik 2005; Sears and Funk 1999), </w:t>
      </w:r>
      <w:r w:rsidR="00C67713">
        <w:rPr>
          <w:rFonts w:ascii="Times New Roman" w:hAnsi="Times New Roman" w:cs="Times New Roman"/>
          <w:sz w:val="24"/>
          <w:szCs w:val="24"/>
        </w:rPr>
        <w:t>yet some</w:t>
      </w:r>
      <w:r w:rsidR="008323A5">
        <w:rPr>
          <w:rFonts w:ascii="Times New Roman" w:hAnsi="Times New Roman" w:cs="Times New Roman"/>
          <w:sz w:val="24"/>
          <w:szCs w:val="24"/>
        </w:rPr>
        <w:t xml:space="preserve"> intrastate conflicts are protracted while others are not; some carry a high death toll while other exhibit limited casualties; some recur within the same state while others occur only once within some countries. Thus, some civil wars do not fit the definition of a political shock</w:t>
      </w:r>
      <w:r w:rsidR="00B40A23">
        <w:rPr>
          <w:rFonts w:ascii="Times New Roman" w:hAnsi="Times New Roman" w:cs="Times New Roman"/>
          <w:sz w:val="24"/>
          <w:szCs w:val="24"/>
        </w:rPr>
        <w:t xml:space="preserve">; </w:t>
      </w:r>
      <w:r w:rsidR="00722DB2">
        <w:rPr>
          <w:rFonts w:ascii="Times New Roman" w:hAnsi="Times New Roman" w:cs="Times New Roman"/>
          <w:sz w:val="24"/>
          <w:szCs w:val="24"/>
        </w:rPr>
        <w:t>similar arguments can be made about interstate wars and militarized disputes, acts of terrorism, or executive turnover.</w:t>
      </w:r>
      <w:r w:rsidR="008323A5">
        <w:rPr>
          <w:rFonts w:ascii="Times New Roman" w:hAnsi="Times New Roman" w:cs="Times New Roman"/>
          <w:sz w:val="24"/>
          <w:szCs w:val="24"/>
        </w:rPr>
        <w:t xml:space="preserve"> </w:t>
      </w:r>
    </w:p>
    <w:p w14:paraId="4A9A6D9C" w14:textId="251CF64D" w:rsidR="002E112F" w:rsidRDefault="00A761D5" w:rsidP="008323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point here is that the extent to which an actual event constitutes a political shock may very much depend on </w:t>
      </w:r>
      <w:r w:rsidR="008323A5">
        <w:rPr>
          <w:rFonts w:ascii="Times New Roman" w:hAnsi="Times New Roman" w:cs="Times New Roman"/>
          <w:sz w:val="24"/>
          <w:szCs w:val="24"/>
        </w:rPr>
        <w:t xml:space="preserve">both the nature of the event and </w:t>
      </w:r>
      <w:r>
        <w:rPr>
          <w:rFonts w:ascii="Times New Roman" w:hAnsi="Times New Roman" w:cs="Times New Roman"/>
          <w:sz w:val="24"/>
          <w:szCs w:val="24"/>
        </w:rPr>
        <w:t>the actor’s circumstances at the time</w:t>
      </w:r>
      <w:r w:rsidR="000B4AA1">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and it is unlikely that </w:t>
      </w:r>
      <w:r w:rsidR="008323A5">
        <w:rPr>
          <w:rFonts w:ascii="Times New Roman" w:hAnsi="Times New Roman" w:cs="Times New Roman"/>
          <w:sz w:val="24"/>
          <w:szCs w:val="24"/>
        </w:rPr>
        <w:t xml:space="preserve">all </w:t>
      </w:r>
      <w:r>
        <w:rPr>
          <w:rFonts w:ascii="Times New Roman" w:hAnsi="Times New Roman" w:cs="Times New Roman"/>
          <w:sz w:val="24"/>
          <w:szCs w:val="24"/>
        </w:rPr>
        <w:t>such events have a uniform “shock” effect on all states experiencing them. We return to this point below in our reconceptualization of political shocks.</w:t>
      </w:r>
    </w:p>
    <w:p w14:paraId="082EB564" w14:textId="4E3463AA" w:rsidR="00A761D5" w:rsidRPr="00A761D5" w:rsidRDefault="00C66BBE" w:rsidP="002E112F">
      <w:pPr>
        <w:spacing w:line="480" w:lineRule="auto"/>
        <w:rPr>
          <w:rFonts w:ascii="Times New Roman" w:hAnsi="Times New Roman" w:cs="Times New Roman"/>
          <w:i/>
          <w:iCs/>
          <w:sz w:val="24"/>
          <w:szCs w:val="24"/>
        </w:rPr>
      </w:pPr>
      <w:r>
        <w:rPr>
          <w:rFonts w:ascii="Times New Roman" w:hAnsi="Times New Roman" w:cs="Times New Roman"/>
          <w:i/>
          <w:iCs/>
          <w:sz w:val="24"/>
          <w:szCs w:val="24"/>
        </w:rPr>
        <w:t>Theorizing the effects of political shocks</w:t>
      </w:r>
      <w:r w:rsidR="00686346">
        <w:rPr>
          <w:rFonts w:ascii="Times New Roman" w:hAnsi="Times New Roman" w:cs="Times New Roman"/>
          <w:i/>
          <w:iCs/>
          <w:sz w:val="24"/>
          <w:szCs w:val="24"/>
        </w:rPr>
        <w:t xml:space="preserve"> in the literature</w:t>
      </w:r>
    </w:p>
    <w:p w14:paraId="48CEB5B9" w14:textId="0EFFED1B" w:rsidR="005347A7" w:rsidRDefault="00A761D5" w:rsidP="002E112F">
      <w:pPr>
        <w:spacing w:line="480" w:lineRule="auto"/>
        <w:rPr>
          <w:rFonts w:ascii="Times New Roman" w:hAnsi="Times New Roman" w:cs="Times New Roman"/>
          <w:sz w:val="24"/>
          <w:szCs w:val="24"/>
        </w:rPr>
      </w:pPr>
      <w:r>
        <w:rPr>
          <w:rFonts w:ascii="Times New Roman" w:hAnsi="Times New Roman" w:cs="Times New Roman"/>
          <w:sz w:val="24"/>
          <w:szCs w:val="24"/>
        </w:rPr>
        <w:tab/>
      </w:r>
      <w:r w:rsidR="00FE7C16">
        <w:rPr>
          <w:rFonts w:ascii="Times New Roman" w:hAnsi="Times New Roman" w:cs="Times New Roman"/>
          <w:sz w:val="24"/>
          <w:szCs w:val="24"/>
        </w:rPr>
        <w:t xml:space="preserve">With respect to the literature’s approach to explaining the effects of political shocks, </w:t>
      </w:r>
      <w:r w:rsidR="00314ADC">
        <w:rPr>
          <w:rFonts w:ascii="Times New Roman" w:hAnsi="Times New Roman" w:cs="Times New Roman"/>
          <w:sz w:val="24"/>
          <w:szCs w:val="24"/>
        </w:rPr>
        <w:t xml:space="preserve">we </w:t>
      </w:r>
      <w:r>
        <w:rPr>
          <w:rFonts w:ascii="Times New Roman" w:hAnsi="Times New Roman" w:cs="Times New Roman"/>
          <w:sz w:val="24"/>
          <w:szCs w:val="24"/>
        </w:rPr>
        <w:t xml:space="preserve">concur with Maoz and Joyce’s (2016: 294) </w:t>
      </w:r>
      <w:r w:rsidR="00FE7C16">
        <w:rPr>
          <w:rFonts w:ascii="Times New Roman" w:hAnsi="Times New Roman" w:cs="Times New Roman"/>
          <w:sz w:val="24"/>
          <w:szCs w:val="24"/>
        </w:rPr>
        <w:t>critique: not</w:t>
      </w:r>
      <w:r>
        <w:rPr>
          <w:rFonts w:ascii="Times New Roman" w:hAnsi="Times New Roman" w:cs="Times New Roman"/>
          <w:sz w:val="24"/>
          <w:szCs w:val="24"/>
        </w:rPr>
        <w:t xml:space="preserve"> only are the causal mechanisms underspecified and poorly understood, but research in the field also has failed to specify whether </w:t>
      </w:r>
      <w:r>
        <w:rPr>
          <w:rFonts w:ascii="Times New Roman" w:hAnsi="Times New Roman" w:cs="Times New Roman"/>
          <w:sz w:val="24"/>
          <w:szCs w:val="24"/>
        </w:rPr>
        <w:lastRenderedPageBreak/>
        <w:t>or not identified causal mechanisms are uniformly applicable across different types of political shocks. To this critique we add another: it is unclear whether the effects</w:t>
      </w:r>
      <w:r w:rsidR="00CF6022">
        <w:rPr>
          <w:rFonts w:ascii="Times New Roman" w:hAnsi="Times New Roman" w:cs="Times New Roman"/>
          <w:sz w:val="24"/>
          <w:szCs w:val="24"/>
        </w:rPr>
        <w:t xml:space="preserve"> attributed to </w:t>
      </w:r>
      <w:r>
        <w:rPr>
          <w:rFonts w:ascii="Times New Roman" w:hAnsi="Times New Roman" w:cs="Times New Roman"/>
          <w:sz w:val="24"/>
          <w:szCs w:val="24"/>
        </w:rPr>
        <w:t>political shocks in the literature are unique to the nature of political shocks, or, if the</w:t>
      </w:r>
      <w:r w:rsidR="00D25B7D">
        <w:rPr>
          <w:rFonts w:ascii="Times New Roman" w:hAnsi="Times New Roman" w:cs="Times New Roman"/>
          <w:sz w:val="24"/>
          <w:szCs w:val="24"/>
        </w:rPr>
        <w:t xml:space="preserve">se </w:t>
      </w:r>
      <w:r>
        <w:rPr>
          <w:rFonts w:ascii="Times New Roman" w:hAnsi="Times New Roman" w:cs="Times New Roman"/>
          <w:sz w:val="24"/>
          <w:szCs w:val="24"/>
        </w:rPr>
        <w:t xml:space="preserve">are part of causal </w:t>
      </w:r>
      <w:r w:rsidR="00812828">
        <w:rPr>
          <w:rFonts w:ascii="Times New Roman" w:hAnsi="Times New Roman" w:cs="Times New Roman"/>
          <w:sz w:val="24"/>
          <w:szCs w:val="24"/>
        </w:rPr>
        <w:t>dynamics</w:t>
      </w:r>
      <w:r>
        <w:rPr>
          <w:rFonts w:ascii="Times New Roman" w:hAnsi="Times New Roman" w:cs="Times New Roman"/>
          <w:sz w:val="24"/>
          <w:szCs w:val="24"/>
        </w:rPr>
        <w:t xml:space="preserve"> involved with other phenomena. </w:t>
      </w:r>
      <w:r w:rsidR="002E4312">
        <w:rPr>
          <w:rFonts w:ascii="Times New Roman" w:hAnsi="Times New Roman" w:cs="Times New Roman"/>
          <w:sz w:val="24"/>
          <w:szCs w:val="24"/>
        </w:rPr>
        <w:t>W</w:t>
      </w:r>
      <w:r w:rsidR="00A46D1F">
        <w:rPr>
          <w:rFonts w:ascii="Times New Roman" w:hAnsi="Times New Roman" w:cs="Times New Roman"/>
          <w:sz w:val="24"/>
          <w:szCs w:val="24"/>
        </w:rPr>
        <w:t xml:space="preserve">hen researchers treat </w:t>
      </w:r>
      <w:r w:rsidR="00FE7C16">
        <w:rPr>
          <w:rFonts w:ascii="Times New Roman" w:hAnsi="Times New Roman" w:cs="Times New Roman"/>
          <w:sz w:val="24"/>
          <w:szCs w:val="24"/>
        </w:rPr>
        <w:t>interstate and intrastate wars, regime changes, or acts of terrorism</w:t>
      </w:r>
      <w:r w:rsidR="00A46D1F">
        <w:rPr>
          <w:rFonts w:ascii="Times New Roman" w:hAnsi="Times New Roman" w:cs="Times New Roman"/>
          <w:sz w:val="24"/>
          <w:szCs w:val="24"/>
        </w:rPr>
        <w:t xml:space="preserve"> as political shocks, are they focusing on a political shock-based explanation or are they simply renaming dynamics related to wars, regardless of whether those </w:t>
      </w:r>
      <w:r w:rsidR="00FE7C16">
        <w:rPr>
          <w:rFonts w:ascii="Times New Roman" w:hAnsi="Times New Roman" w:cs="Times New Roman"/>
          <w:sz w:val="24"/>
          <w:szCs w:val="24"/>
        </w:rPr>
        <w:t xml:space="preserve">classes of events </w:t>
      </w:r>
      <w:r w:rsidR="00A46D1F">
        <w:rPr>
          <w:rFonts w:ascii="Times New Roman" w:hAnsi="Times New Roman" w:cs="Times New Roman"/>
          <w:sz w:val="24"/>
          <w:szCs w:val="24"/>
        </w:rPr>
        <w:t>constitute political shocks? These concerns remain largely unaddressed in the literature.</w:t>
      </w:r>
      <w:r w:rsidR="00AD344E">
        <w:rPr>
          <w:rStyle w:val="FootnoteReference"/>
          <w:rFonts w:ascii="Times New Roman" w:hAnsi="Times New Roman" w:cs="Times New Roman"/>
          <w:sz w:val="24"/>
          <w:szCs w:val="24"/>
        </w:rPr>
        <w:footnoteReference w:id="9"/>
      </w:r>
    </w:p>
    <w:p w14:paraId="0102A601" w14:textId="7815B42C" w:rsidR="006C44F3" w:rsidRDefault="008F2DC2" w:rsidP="002E112F">
      <w:pPr>
        <w:spacing w:line="480" w:lineRule="auto"/>
        <w:rPr>
          <w:rFonts w:ascii="Times New Roman" w:hAnsi="Times New Roman" w:cs="Times New Roman"/>
          <w:sz w:val="24"/>
          <w:szCs w:val="24"/>
        </w:rPr>
      </w:pPr>
      <w:r>
        <w:rPr>
          <w:rFonts w:ascii="Times New Roman" w:hAnsi="Times New Roman" w:cs="Times New Roman"/>
          <w:sz w:val="24"/>
          <w:szCs w:val="24"/>
        </w:rPr>
        <w:tab/>
      </w:r>
      <w:r w:rsidR="00C2474C">
        <w:rPr>
          <w:rFonts w:ascii="Times New Roman" w:hAnsi="Times New Roman" w:cs="Times New Roman"/>
          <w:sz w:val="24"/>
          <w:szCs w:val="24"/>
        </w:rPr>
        <w:t xml:space="preserve">Of the few </w:t>
      </w:r>
      <w:r w:rsidR="00F30186">
        <w:rPr>
          <w:rFonts w:ascii="Times New Roman" w:hAnsi="Times New Roman" w:cs="Times New Roman"/>
          <w:sz w:val="24"/>
          <w:szCs w:val="24"/>
        </w:rPr>
        <w:t xml:space="preserve">works that </w:t>
      </w:r>
      <w:r w:rsidR="00C45DB8">
        <w:rPr>
          <w:rFonts w:ascii="Times New Roman" w:hAnsi="Times New Roman" w:cs="Times New Roman"/>
          <w:sz w:val="24"/>
          <w:szCs w:val="24"/>
        </w:rPr>
        <w:t>develop political</w:t>
      </w:r>
      <w:r w:rsidR="00F30186">
        <w:rPr>
          <w:rFonts w:ascii="Times New Roman" w:hAnsi="Times New Roman" w:cs="Times New Roman"/>
          <w:sz w:val="24"/>
          <w:szCs w:val="24"/>
        </w:rPr>
        <w:t xml:space="preserve"> shock-specific explanations, </w:t>
      </w:r>
      <w:r>
        <w:rPr>
          <w:rFonts w:ascii="Times New Roman" w:hAnsi="Times New Roman" w:cs="Times New Roman"/>
          <w:sz w:val="24"/>
          <w:szCs w:val="24"/>
        </w:rPr>
        <w:t>the most useful theoretical approach in the literature come</w:t>
      </w:r>
      <w:r w:rsidR="00A901E0">
        <w:rPr>
          <w:rFonts w:ascii="Times New Roman" w:hAnsi="Times New Roman" w:cs="Times New Roman"/>
          <w:sz w:val="24"/>
          <w:szCs w:val="24"/>
        </w:rPr>
        <w:t>s</w:t>
      </w:r>
      <w:r>
        <w:rPr>
          <w:rFonts w:ascii="Times New Roman" w:hAnsi="Times New Roman" w:cs="Times New Roman"/>
          <w:sz w:val="24"/>
          <w:szCs w:val="24"/>
        </w:rPr>
        <w:t xml:space="preserve"> from studies</w:t>
      </w:r>
      <w:r w:rsidR="0059044F">
        <w:rPr>
          <w:rFonts w:ascii="Times New Roman" w:hAnsi="Times New Roman" w:cs="Times New Roman"/>
          <w:sz w:val="24"/>
          <w:szCs w:val="24"/>
        </w:rPr>
        <w:t xml:space="preserve"> utilizing a punctuated equilibrium (PE) model</w:t>
      </w:r>
      <w:r w:rsidR="006C44F3">
        <w:rPr>
          <w:rStyle w:val="FootnoteReference"/>
          <w:rFonts w:ascii="Times New Roman" w:hAnsi="Times New Roman" w:cs="Times New Roman"/>
          <w:sz w:val="24"/>
          <w:szCs w:val="24"/>
        </w:rPr>
        <w:footnoteReference w:id="10"/>
      </w:r>
      <w:r w:rsidR="0059044F">
        <w:rPr>
          <w:rFonts w:ascii="Times New Roman" w:hAnsi="Times New Roman" w:cs="Times New Roman"/>
          <w:sz w:val="24"/>
          <w:szCs w:val="24"/>
        </w:rPr>
        <w:t xml:space="preserve"> for studying both continuity and major change in the foreign policies (Joly and Richter 2019) and the behavior of states (Goertz and Diehl 1995, Rasler 2000, Diehl and Goertz 2001). </w:t>
      </w:r>
      <w:r>
        <w:rPr>
          <w:rFonts w:ascii="Times New Roman" w:hAnsi="Times New Roman" w:cs="Times New Roman"/>
          <w:sz w:val="24"/>
          <w:szCs w:val="24"/>
        </w:rPr>
        <w:t xml:space="preserve"> </w:t>
      </w:r>
      <w:r w:rsidR="00A901E0">
        <w:rPr>
          <w:rFonts w:ascii="Times New Roman" w:hAnsi="Times New Roman" w:cs="Times New Roman"/>
          <w:sz w:val="24"/>
          <w:szCs w:val="24"/>
        </w:rPr>
        <w:t xml:space="preserve">Stripped to its essentials, </w:t>
      </w:r>
      <w:r w:rsidR="0059044F">
        <w:rPr>
          <w:rFonts w:ascii="Times New Roman" w:hAnsi="Times New Roman" w:cs="Times New Roman"/>
          <w:sz w:val="24"/>
          <w:szCs w:val="24"/>
        </w:rPr>
        <w:t xml:space="preserve">the PE approach argues that once policies are adopted, for a variety of reasons related to both political dynamics and the policy processes of states, policymakers continue down the same </w:t>
      </w:r>
      <w:r w:rsidR="007F480B">
        <w:rPr>
          <w:rFonts w:ascii="Times New Roman" w:hAnsi="Times New Roman" w:cs="Times New Roman"/>
          <w:sz w:val="24"/>
          <w:szCs w:val="24"/>
        </w:rPr>
        <w:t xml:space="preserve">general </w:t>
      </w:r>
      <w:r w:rsidR="0059044F">
        <w:rPr>
          <w:rFonts w:ascii="Times New Roman" w:hAnsi="Times New Roman" w:cs="Times New Roman"/>
          <w:sz w:val="24"/>
          <w:szCs w:val="24"/>
        </w:rPr>
        <w:t xml:space="preserve">policy path until a major disruption occurs (a punctuation in the state’s equilibrium), opening a “window of opportunity” for a major change in policy direction. Political shocks, including unanticipated major policy failures, would be prime candidates for </w:t>
      </w:r>
      <w:r w:rsidR="0059044F">
        <w:rPr>
          <w:rFonts w:ascii="Times New Roman" w:hAnsi="Times New Roman" w:cs="Times New Roman"/>
          <w:sz w:val="24"/>
          <w:szCs w:val="24"/>
        </w:rPr>
        <w:lastRenderedPageBreak/>
        <w:t xml:space="preserve">puncturing </w:t>
      </w:r>
      <w:r w:rsidR="00D63381">
        <w:rPr>
          <w:rFonts w:ascii="Times New Roman" w:hAnsi="Times New Roman" w:cs="Times New Roman"/>
          <w:sz w:val="24"/>
          <w:szCs w:val="24"/>
        </w:rPr>
        <w:t>a state’s</w:t>
      </w:r>
      <w:r w:rsidR="0059044F">
        <w:rPr>
          <w:rFonts w:ascii="Times New Roman" w:hAnsi="Times New Roman" w:cs="Times New Roman"/>
          <w:sz w:val="24"/>
          <w:szCs w:val="24"/>
        </w:rPr>
        <w:t xml:space="preserve"> equilibrium. In this sense a punctuated equilibrium model is highly useful for assessing nature and salience of political shocks</w:t>
      </w:r>
      <w:r w:rsidR="006C44F3">
        <w:rPr>
          <w:rFonts w:ascii="Times New Roman" w:hAnsi="Times New Roman" w:cs="Times New Roman"/>
          <w:sz w:val="24"/>
          <w:szCs w:val="24"/>
        </w:rPr>
        <w:t xml:space="preserve">. </w:t>
      </w:r>
    </w:p>
    <w:p w14:paraId="09563909" w14:textId="02A68F8F" w:rsidR="00A901E0" w:rsidRDefault="006C44F3" w:rsidP="00A901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punctuated equilibrium approach is consistent with much of our understanding of international politics. </w:t>
      </w:r>
      <w:r w:rsidR="00A901E0">
        <w:rPr>
          <w:rFonts w:ascii="Times New Roman" w:hAnsi="Times New Roman" w:cs="Times New Roman"/>
          <w:sz w:val="24"/>
          <w:szCs w:val="24"/>
        </w:rPr>
        <w:t>For those who work with large-N research designs, it will come as no surprise that state behavior is relatively stable over time.</w:t>
      </w:r>
      <w:r w:rsidR="00D5511D">
        <w:rPr>
          <w:rStyle w:val="FootnoteReference"/>
          <w:rFonts w:ascii="Times New Roman" w:hAnsi="Times New Roman" w:cs="Times New Roman"/>
          <w:sz w:val="24"/>
          <w:szCs w:val="24"/>
        </w:rPr>
        <w:footnoteReference w:id="11"/>
      </w:r>
      <w:r w:rsidR="00A901E0">
        <w:rPr>
          <w:rFonts w:ascii="Times New Roman" w:hAnsi="Times New Roman" w:cs="Times New Roman"/>
          <w:sz w:val="24"/>
          <w:szCs w:val="24"/>
        </w:rPr>
        <w:t xml:space="preserve"> Typically, by far the best predictor of the dependent variable of interest is the lag of the dependent variable in the empirical model, suggesting a very high level of path dependency</w:t>
      </w:r>
      <w:r w:rsidR="00A901E0">
        <w:rPr>
          <w:rStyle w:val="FootnoteReference"/>
          <w:rFonts w:ascii="Times New Roman" w:hAnsi="Times New Roman" w:cs="Times New Roman"/>
          <w:sz w:val="24"/>
          <w:szCs w:val="24"/>
        </w:rPr>
        <w:footnoteReference w:id="12"/>
      </w:r>
      <w:r w:rsidR="00A901E0">
        <w:rPr>
          <w:rFonts w:ascii="Times New Roman" w:hAnsi="Times New Roman" w:cs="Times New Roman"/>
          <w:sz w:val="24"/>
          <w:szCs w:val="24"/>
        </w:rPr>
        <w:t xml:space="preserve"> in state behavior, reflecting much stability and mostly incremental changes from the immediate past.  W</w:t>
      </w:r>
      <w:r>
        <w:rPr>
          <w:rFonts w:ascii="Times New Roman" w:hAnsi="Times New Roman" w:cs="Times New Roman"/>
          <w:sz w:val="24"/>
          <w:szCs w:val="24"/>
        </w:rPr>
        <w:t xml:space="preserve">hen dramatic change does occur, it is likely associated with political shocks that punctuate the stability in relationships. For example, using a punctuated equilibrium approach, Goertz and Diehl (1995; Diehl and Goertz 2001) </w:t>
      </w:r>
      <w:r w:rsidR="00A901E0">
        <w:rPr>
          <w:rFonts w:ascii="Times New Roman" w:hAnsi="Times New Roman" w:cs="Times New Roman"/>
          <w:sz w:val="24"/>
          <w:szCs w:val="24"/>
        </w:rPr>
        <w:t>demonstrate</w:t>
      </w:r>
      <w:r>
        <w:rPr>
          <w:rFonts w:ascii="Times New Roman" w:hAnsi="Times New Roman" w:cs="Times New Roman"/>
          <w:sz w:val="24"/>
          <w:szCs w:val="24"/>
        </w:rPr>
        <w:t xml:space="preserve"> that political shocks—either occurring in the environment of states or endogeneously—temporarily open a “policy window” of opportunity to change policy, which can result in either the initiation and/or the termination of enduring rivalries.</w:t>
      </w:r>
      <w:r>
        <w:rPr>
          <w:rStyle w:val="FootnoteReference"/>
          <w:rFonts w:ascii="Times New Roman" w:hAnsi="Times New Roman" w:cs="Times New Roman"/>
          <w:sz w:val="24"/>
          <w:szCs w:val="24"/>
        </w:rPr>
        <w:footnoteReference w:id="13"/>
      </w:r>
      <w:r w:rsidR="00A901E0">
        <w:rPr>
          <w:rFonts w:ascii="Times New Roman" w:hAnsi="Times New Roman" w:cs="Times New Roman"/>
          <w:sz w:val="24"/>
          <w:szCs w:val="24"/>
        </w:rPr>
        <w:t xml:space="preserve"> </w:t>
      </w:r>
    </w:p>
    <w:p w14:paraId="4E782C35" w14:textId="5B1D5BAC" w:rsidR="00415887" w:rsidRDefault="004C60E7" w:rsidP="00A901E0">
      <w:pPr>
        <w:spacing w:line="480" w:lineRule="auto"/>
        <w:ind w:firstLine="720"/>
        <w:rPr>
          <w:rFonts w:ascii="Times New Roman" w:hAnsi="Times New Roman" w:cs="Times New Roman"/>
          <w:sz w:val="24"/>
          <w:szCs w:val="24"/>
        </w:rPr>
      </w:pPr>
      <w:r w:rsidRPr="00D2577C">
        <w:rPr>
          <w:rFonts w:ascii="Times New Roman" w:hAnsi="Times New Roman" w:cs="Times New Roman"/>
          <w:sz w:val="24"/>
          <w:szCs w:val="24"/>
        </w:rPr>
        <w:t xml:space="preserve">In a similar vein, Rasler (2000) focuses on the </w:t>
      </w:r>
      <w:r w:rsidR="00D2577C" w:rsidRPr="00D2577C">
        <w:rPr>
          <w:rFonts w:ascii="Times New Roman" w:hAnsi="Times New Roman" w:cs="Times New Roman"/>
          <w:sz w:val="24"/>
          <w:szCs w:val="24"/>
        </w:rPr>
        <w:t xml:space="preserve">salience of political shocks in explaining the </w:t>
      </w:r>
      <w:r w:rsidRPr="00D2577C">
        <w:rPr>
          <w:rFonts w:ascii="Times New Roman" w:hAnsi="Times New Roman" w:cs="Times New Roman"/>
          <w:sz w:val="24"/>
          <w:szCs w:val="24"/>
        </w:rPr>
        <w:t xml:space="preserve">termination of </w:t>
      </w:r>
      <w:r w:rsidR="00314ADC">
        <w:rPr>
          <w:rFonts w:ascii="Times New Roman" w:hAnsi="Times New Roman" w:cs="Times New Roman"/>
          <w:sz w:val="24"/>
          <w:szCs w:val="24"/>
        </w:rPr>
        <w:t>the</w:t>
      </w:r>
      <w:r w:rsidRPr="00D2577C">
        <w:rPr>
          <w:rFonts w:ascii="Times New Roman" w:hAnsi="Times New Roman" w:cs="Times New Roman"/>
          <w:sz w:val="24"/>
          <w:szCs w:val="24"/>
        </w:rPr>
        <w:t xml:space="preserve"> </w:t>
      </w:r>
      <w:r w:rsidR="00D2577C" w:rsidRPr="00D2577C">
        <w:rPr>
          <w:rFonts w:ascii="Times New Roman" w:hAnsi="Times New Roman" w:cs="Times New Roman"/>
          <w:sz w:val="24"/>
          <w:szCs w:val="24"/>
        </w:rPr>
        <w:t>protracted</w:t>
      </w:r>
      <w:r w:rsidRPr="00D2577C">
        <w:rPr>
          <w:rFonts w:ascii="Times New Roman" w:hAnsi="Times New Roman" w:cs="Times New Roman"/>
          <w:sz w:val="24"/>
          <w:szCs w:val="24"/>
        </w:rPr>
        <w:t xml:space="preserve"> rivalry involving Egypt and Israel</w:t>
      </w:r>
      <w:r w:rsidR="00D2577C" w:rsidRPr="00D2577C">
        <w:rPr>
          <w:rFonts w:ascii="Times New Roman" w:hAnsi="Times New Roman" w:cs="Times New Roman"/>
          <w:sz w:val="24"/>
          <w:szCs w:val="24"/>
        </w:rPr>
        <w:t xml:space="preserve">. </w:t>
      </w:r>
      <w:r w:rsidR="00D2577C">
        <w:rPr>
          <w:rFonts w:ascii="Times New Roman" w:hAnsi="Times New Roman" w:cs="Times New Roman"/>
          <w:sz w:val="24"/>
          <w:szCs w:val="24"/>
        </w:rPr>
        <w:t>As with Goertz and Diehl, s</w:t>
      </w:r>
      <w:r w:rsidR="00D2577C" w:rsidRPr="00D2577C">
        <w:rPr>
          <w:rFonts w:ascii="Times New Roman" w:hAnsi="Times New Roman" w:cs="Times New Roman"/>
          <w:sz w:val="24"/>
          <w:szCs w:val="24"/>
        </w:rPr>
        <w:t xml:space="preserve">he </w:t>
      </w:r>
      <w:r w:rsidR="00A901E0">
        <w:rPr>
          <w:rFonts w:ascii="Times New Roman" w:hAnsi="Times New Roman" w:cs="Times New Roman"/>
          <w:sz w:val="24"/>
          <w:szCs w:val="24"/>
        </w:rPr>
        <w:t>demonstrates</w:t>
      </w:r>
      <w:r w:rsidR="00F30186">
        <w:rPr>
          <w:rFonts w:ascii="Times New Roman" w:hAnsi="Times New Roman" w:cs="Times New Roman"/>
          <w:sz w:val="24"/>
          <w:szCs w:val="24"/>
        </w:rPr>
        <w:t xml:space="preserve"> </w:t>
      </w:r>
      <w:r w:rsidR="00D2577C" w:rsidRPr="00D2577C">
        <w:rPr>
          <w:rFonts w:ascii="Times New Roman" w:hAnsi="Times New Roman" w:cs="Times New Roman"/>
          <w:sz w:val="24"/>
          <w:szCs w:val="24"/>
        </w:rPr>
        <w:t>that ongoing rivalries reflect much continuity in relationship</w:t>
      </w:r>
      <w:r w:rsidR="00F30186">
        <w:rPr>
          <w:rFonts w:ascii="Times New Roman" w:hAnsi="Times New Roman" w:cs="Times New Roman"/>
          <w:sz w:val="24"/>
          <w:szCs w:val="24"/>
        </w:rPr>
        <w:t>s</w:t>
      </w:r>
      <w:r w:rsidR="00AD02B5">
        <w:rPr>
          <w:rFonts w:ascii="Times New Roman" w:hAnsi="Times New Roman" w:cs="Times New Roman"/>
          <w:sz w:val="24"/>
          <w:szCs w:val="24"/>
        </w:rPr>
        <w:t xml:space="preserve"> </w:t>
      </w:r>
      <w:r w:rsidR="00CF6022">
        <w:rPr>
          <w:rFonts w:ascii="Times New Roman" w:hAnsi="Times New Roman" w:cs="Times New Roman"/>
          <w:sz w:val="24"/>
          <w:szCs w:val="24"/>
        </w:rPr>
        <w:t xml:space="preserve">until </w:t>
      </w:r>
      <w:r w:rsidR="00D2577C" w:rsidRPr="00D2577C">
        <w:rPr>
          <w:rFonts w:ascii="Times New Roman" w:hAnsi="Times New Roman" w:cs="Times New Roman"/>
          <w:sz w:val="24"/>
          <w:szCs w:val="24"/>
        </w:rPr>
        <w:t>one or more political shocks play a “critical role in transforming intractable conflicts if they influence the adversaries to re-evaluate their prior expectations</w:t>
      </w:r>
      <w:r w:rsidR="00D2577C">
        <w:rPr>
          <w:rFonts w:ascii="Times New Roman" w:hAnsi="Times New Roman" w:cs="Times New Roman"/>
          <w:sz w:val="24"/>
          <w:szCs w:val="24"/>
        </w:rPr>
        <w:t xml:space="preserve">” (p. 701). In this sense political shocks also appear to be necessary conditions, and she also concurs that such shocks can have either </w:t>
      </w:r>
      <w:r w:rsidR="00D2577C">
        <w:rPr>
          <w:rFonts w:ascii="Times New Roman" w:hAnsi="Times New Roman" w:cs="Times New Roman"/>
          <w:sz w:val="24"/>
          <w:szCs w:val="24"/>
        </w:rPr>
        <w:lastRenderedPageBreak/>
        <w:t xml:space="preserve">escalatory or de-escalatory </w:t>
      </w:r>
      <w:r w:rsidR="00415887">
        <w:rPr>
          <w:rFonts w:ascii="Times New Roman" w:hAnsi="Times New Roman" w:cs="Times New Roman"/>
          <w:sz w:val="24"/>
          <w:szCs w:val="24"/>
        </w:rPr>
        <w:t>e</w:t>
      </w:r>
      <w:r w:rsidR="00D2577C">
        <w:rPr>
          <w:rFonts w:ascii="Times New Roman" w:hAnsi="Times New Roman" w:cs="Times New Roman"/>
          <w:sz w:val="24"/>
          <w:szCs w:val="24"/>
        </w:rPr>
        <w:t xml:space="preserve">ffects, depending </w:t>
      </w:r>
      <w:r w:rsidR="00415887">
        <w:rPr>
          <w:rFonts w:ascii="Times New Roman" w:hAnsi="Times New Roman" w:cs="Times New Roman"/>
          <w:sz w:val="24"/>
          <w:szCs w:val="24"/>
        </w:rPr>
        <w:t xml:space="preserve">on “context, timing, and leader expectations.” In this version of PE, a political shock not only can impact policy makers’ expectations about ongoing relationships, but the policy window is also opened for policy entrepreneurs </w:t>
      </w:r>
      <w:r w:rsidR="001167AC">
        <w:rPr>
          <w:rFonts w:ascii="Times New Roman" w:hAnsi="Times New Roman" w:cs="Times New Roman"/>
          <w:sz w:val="24"/>
          <w:szCs w:val="24"/>
        </w:rPr>
        <w:t>who seek to</w:t>
      </w:r>
      <w:r w:rsidR="00415887">
        <w:rPr>
          <w:rFonts w:ascii="Times New Roman" w:hAnsi="Times New Roman" w:cs="Times New Roman"/>
          <w:sz w:val="24"/>
          <w:szCs w:val="24"/>
        </w:rPr>
        <w:t xml:space="preserve"> overcome </w:t>
      </w:r>
      <w:r w:rsidR="001167AC">
        <w:rPr>
          <w:rFonts w:ascii="Times New Roman" w:hAnsi="Times New Roman" w:cs="Times New Roman"/>
          <w:sz w:val="24"/>
          <w:szCs w:val="24"/>
        </w:rPr>
        <w:t>extant</w:t>
      </w:r>
      <w:r w:rsidR="00415887">
        <w:rPr>
          <w:rFonts w:ascii="Times New Roman" w:hAnsi="Times New Roman" w:cs="Times New Roman"/>
          <w:sz w:val="24"/>
          <w:szCs w:val="24"/>
        </w:rPr>
        <w:t xml:space="preserve"> commitments to old strategies</w:t>
      </w:r>
      <w:r w:rsidR="001167AC">
        <w:rPr>
          <w:rFonts w:ascii="Times New Roman" w:hAnsi="Times New Roman" w:cs="Times New Roman"/>
          <w:sz w:val="24"/>
          <w:szCs w:val="24"/>
        </w:rPr>
        <w:t>,</w:t>
      </w:r>
      <w:r w:rsidR="00415887">
        <w:rPr>
          <w:rFonts w:ascii="Times New Roman" w:hAnsi="Times New Roman" w:cs="Times New Roman"/>
          <w:sz w:val="24"/>
          <w:szCs w:val="24"/>
        </w:rPr>
        <w:t xml:space="preserve"> and </w:t>
      </w:r>
      <w:r w:rsidR="001167AC">
        <w:rPr>
          <w:rFonts w:ascii="Times New Roman" w:hAnsi="Times New Roman" w:cs="Times New Roman"/>
          <w:sz w:val="24"/>
          <w:szCs w:val="24"/>
        </w:rPr>
        <w:t xml:space="preserve">as well to </w:t>
      </w:r>
      <w:r w:rsidR="00415887">
        <w:rPr>
          <w:rFonts w:ascii="Times New Roman" w:hAnsi="Times New Roman" w:cs="Times New Roman"/>
          <w:sz w:val="24"/>
          <w:szCs w:val="24"/>
        </w:rPr>
        <w:t>possible external third-party pressures.</w:t>
      </w:r>
      <w:r w:rsidR="001167AC">
        <w:rPr>
          <w:rStyle w:val="FootnoteReference"/>
          <w:rFonts w:ascii="Times New Roman" w:hAnsi="Times New Roman" w:cs="Times New Roman"/>
          <w:sz w:val="24"/>
          <w:szCs w:val="24"/>
        </w:rPr>
        <w:footnoteReference w:id="14"/>
      </w:r>
      <w:r w:rsidR="00415887">
        <w:rPr>
          <w:rFonts w:ascii="Times New Roman" w:hAnsi="Times New Roman" w:cs="Times New Roman"/>
          <w:sz w:val="24"/>
          <w:szCs w:val="24"/>
        </w:rPr>
        <w:t xml:space="preserve">  </w:t>
      </w:r>
    </w:p>
    <w:p w14:paraId="7787DDC9" w14:textId="61C2F706" w:rsidR="00D5511D" w:rsidRDefault="00CA2FB2" w:rsidP="00D2577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D5511D">
        <w:rPr>
          <w:rFonts w:ascii="Times New Roman" w:hAnsi="Times New Roman" w:cs="Times New Roman"/>
          <w:sz w:val="24"/>
          <w:szCs w:val="24"/>
        </w:rPr>
        <w:t>Thus, the punctuated equilibrium model appears to be not only useful for explaining conditions under which foreign policies and state behavior continues or changes, but as well gives us additional insight into how to reconceptualize and identify political shocks. To that task we now turn.</w:t>
      </w:r>
    </w:p>
    <w:p w14:paraId="29EA769B" w14:textId="6C473003" w:rsidR="00295656" w:rsidRPr="00295656" w:rsidRDefault="00295656" w:rsidP="00D2577C">
      <w:pPr>
        <w:autoSpaceDE w:val="0"/>
        <w:autoSpaceDN w:val="0"/>
        <w:adjustRightInd w:val="0"/>
        <w:spacing w:after="0" w:line="480" w:lineRule="auto"/>
        <w:rPr>
          <w:rFonts w:ascii="Times New Roman" w:hAnsi="Times New Roman" w:cs="Times New Roman"/>
          <w:b/>
          <w:bCs/>
          <w:sz w:val="24"/>
          <w:szCs w:val="24"/>
        </w:rPr>
      </w:pPr>
      <w:r w:rsidRPr="00295656">
        <w:rPr>
          <w:rFonts w:ascii="Times New Roman" w:hAnsi="Times New Roman" w:cs="Times New Roman"/>
          <w:b/>
          <w:bCs/>
          <w:sz w:val="24"/>
          <w:szCs w:val="24"/>
        </w:rPr>
        <w:t>Reconceptualizing Political Shocks</w:t>
      </w:r>
    </w:p>
    <w:p w14:paraId="37E23179" w14:textId="76084E88" w:rsidR="003F7F76" w:rsidRDefault="00DB628A" w:rsidP="00D2577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our brief discussion of the literature suggests, there are </w:t>
      </w:r>
      <w:r w:rsidR="00D25B7D">
        <w:rPr>
          <w:rFonts w:ascii="Times New Roman" w:hAnsi="Times New Roman" w:cs="Times New Roman"/>
          <w:sz w:val="24"/>
          <w:szCs w:val="24"/>
        </w:rPr>
        <w:t>numerous</w:t>
      </w:r>
      <w:r>
        <w:rPr>
          <w:rFonts w:ascii="Times New Roman" w:hAnsi="Times New Roman" w:cs="Times New Roman"/>
          <w:sz w:val="24"/>
          <w:szCs w:val="24"/>
        </w:rPr>
        <w:t xml:space="preserve"> weaknesses in the extant conceptualization of political shocks that makes it difficult to advance knowledge on this topic. </w:t>
      </w:r>
      <w:r w:rsidR="00AD02B5">
        <w:rPr>
          <w:rFonts w:ascii="Times New Roman" w:hAnsi="Times New Roman" w:cs="Times New Roman"/>
          <w:sz w:val="24"/>
          <w:szCs w:val="24"/>
        </w:rPr>
        <w:t xml:space="preserve">However, </w:t>
      </w:r>
      <w:r w:rsidR="00B963BB">
        <w:rPr>
          <w:rFonts w:ascii="Times New Roman" w:hAnsi="Times New Roman" w:cs="Times New Roman"/>
          <w:sz w:val="24"/>
          <w:szCs w:val="24"/>
        </w:rPr>
        <w:t xml:space="preserve">the primary weakness centers around the problem that </w:t>
      </w:r>
      <w:r>
        <w:rPr>
          <w:rFonts w:ascii="Times New Roman" w:hAnsi="Times New Roman" w:cs="Times New Roman"/>
          <w:sz w:val="24"/>
          <w:szCs w:val="24"/>
        </w:rPr>
        <w:t xml:space="preserve">virtually all definitions and operationalization of the concept are events based: scholars </w:t>
      </w:r>
      <w:r w:rsidR="007F480B">
        <w:rPr>
          <w:rFonts w:ascii="Times New Roman" w:hAnsi="Times New Roman" w:cs="Times New Roman"/>
          <w:sz w:val="24"/>
          <w:szCs w:val="24"/>
        </w:rPr>
        <w:t>typically</w:t>
      </w:r>
      <w:r>
        <w:rPr>
          <w:rFonts w:ascii="Times New Roman" w:hAnsi="Times New Roman" w:cs="Times New Roman"/>
          <w:sz w:val="24"/>
          <w:szCs w:val="24"/>
        </w:rPr>
        <w:t xml:space="preserve"> identify a certain set of events that would likely create a political shock to states and policy makers. </w:t>
      </w:r>
      <w:r w:rsidR="004D12D2">
        <w:rPr>
          <w:rFonts w:ascii="Times New Roman" w:hAnsi="Times New Roman" w:cs="Times New Roman"/>
          <w:sz w:val="24"/>
          <w:szCs w:val="24"/>
        </w:rPr>
        <w:t>Goertz and Diehl (1995) for instance offer the following categories of events: world wars, “dramatic” changes in territorial sovereignty, rapid shifts in power distributions</w:t>
      </w:r>
      <w:r w:rsidR="00FE7C16">
        <w:rPr>
          <w:rFonts w:ascii="Times New Roman" w:hAnsi="Times New Roman" w:cs="Times New Roman"/>
          <w:sz w:val="24"/>
          <w:szCs w:val="24"/>
        </w:rPr>
        <w:t>,</w:t>
      </w:r>
      <w:r w:rsidR="004D12D2">
        <w:rPr>
          <w:rFonts w:ascii="Times New Roman" w:hAnsi="Times New Roman" w:cs="Times New Roman"/>
          <w:sz w:val="24"/>
          <w:szCs w:val="24"/>
        </w:rPr>
        <w:t xml:space="preserve"> civil </w:t>
      </w:r>
      <w:r w:rsidR="00C67713">
        <w:rPr>
          <w:rFonts w:ascii="Times New Roman" w:hAnsi="Times New Roman" w:cs="Times New Roman"/>
          <w:sz w:val="24"/>
          <w:szCs w:val="24"/>
        </w:rPr>
        <w:t>wars,</w:t>
      </w:r>
      <w:r w:rsidR="004D12D2">
        <w:rPr>
          <w:rFonts w:ascii="Times New Roman" w:hAnsi="Times New Roman" w:cs="Times New Roman"/>
          <w:sz w:val="24"/>
          <w:szCs w:val="24"/>
        </w:rPr>
        <w:t xml:space="preserve"> and the achievement of independence/sovereignty by non-state units.</w:t>
      </w:r>
      <w:r>
        <w:rPr>
          <w:rFonts w:ascii="Times New Roman" w:hAnsi="Times New Roman" w:cs="Times New Roman"/>
          <w:sz w:val="24"/>
          <w:szCs w:val="24"/>
        </w:rPr>
        <w:t xml:space="preserve"> </w:t>
      </w:r>
      <w:r w:rsidR="004D12D2">
        <w:rPr>
          <w:rFonts w:ascii="Times New Roman" w:hAnsi="Times New Roman" w:cs="Times New Roman"/>
          <w:sz w:val="24"/>
          <w:szCs w:val="24"/>
        </w:rPr>
        <w:t xml:space="preserve">Rasler (2000) suggests a four-fold typology of </w:t>
      </w:r>
      <w:r w:rsidR="00CF6022">
        <w:rPr>
          <w:rFonts w:ascii="Times New Roman" w:hAnsi="Times New Roman" w:cs="Times New Roman"/>
          <w:sz w:val="24"/>
          <w:szCs w:val="24"/>
        </w:rPr>
        <w:t xml:space="preserve">political shock </w:t>
      </w:r>
      <w:r w:rsidR="004D12D2">
        <w:rPr>
          <w:rFonts w:ascii="Times New Roman" w:hAnsi="Times New Roman" w:cs="Times New Roman"/>
          <w:sz w:val="24"/>
          <w:szCs w:val="24"/>
        </w:rPr>
        <w:t>events: the emergence of a</w:t>
      </w:r>
      <w:r w:rsidR="003F7F76">
        <w:rPr>
          <w:rFonts w:ascii="Times New Roman" w:hAnsi="Times New Roman" w:cs="Times New Roman"/>
          <w:sz w:val="24"/>
          <w:szCs w:val="24"/>
        </w:rPr>
        <w:t>n external threat by a new actor that downgrades the threat f</w:t>
      </w:r>
      <w:r w:rsidR="00314ADC">
        <w:rPr>
          <w:rFonts w:ascii="Times New Roman" w:hAnsi="Times New Roman" w:cs="Times New Roman"/>
          <w:sz w:val="24"/>
          <w:szCs w:val="24"/>
        </w:rPr>
        <w:t>rom</w:t>
      </w:r>
      <w:r w:rsidR="003F7F76">
        <w:rPr>
          <w:rFonts w:ascii="Times New Roman" w:hAnsi="Times New Roman" w:cs="Times New Roman"/>
          <w:sz w:val="24"/>
          <w:szCs w:val="24"/>
        </w:rPr>
        <w:t xml:space="preserve"> old adversaries; changes in political institutions or new domestic political leadership</w:t>
      </w:r>
      <w:r w:rsidR="004D12D2">
        <w:rPr>
          <w:rFonts w:ascii="Times New Roman" w:hAnsi="Times New Roman" w:cs="Times New Roman"/>
          <w:sz w:val="24"/>
          <w:szCs w:val="24"/>
        </w:rPr>
        <w:t xml:space="preserve"> </w:t>
      </w:r>
      <w:r w:rsidR="003F7F76">
        <w:rPr>
          <w:rFonts w:ascii="Times New Roman" w:hAnsi="Times New Roman" w:cs="Times New Roman"/>
          <w:sz w:val="24"/>
          <w:szCs w:val="24"/>
        </w:rPr>
        <w:lastRenderedPageBreak/>
        <w:t>that alters policy preferences; significant decreases in the availability of economic resources; and “catalytic events” such as military defeat, occupation, loss of external patronage, and civil war.</w:t>
      </w:r>
    </w:p>
    <w:p w14:paraId="1B6EE818" w14:textId="1F1EB034" w:rsidR="00E6419B" w:rsidRDefault="003F7F76" w:rsidP="00D2577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have no quarrel with these types of events; all of them </w:t>
      </w:r>
      <w:r w:rsidRPr="003F7F76">
        <w:rPr>
          <w:rFonts w:ascii="Times New Roman" w:hAnsi="Times New Roman" w:cs="Times New Roman"/>
          <w:i/>
          <w:iCs/>
          <w:sz w:val="24"/>
          <w:szCs w:val="24"/>
        </w:rPr>
        <w:t>may</w:t>
      </w:r>
      <w:r>
        <w:rPr>
          <w:rFonts w:ascii="Times New Roman" w:hAnsi="Times New Roman" w:cs="Times New Roman"/>
          <w:sz w:val="24"/>
          <w:szCs w:val="24"/>
        </w:rPr>
        <w:t xml:space="preserve"> create political shocks. Other scholars have identified these and other events that may constitute a political shock (see Table 1). However, in an</w:t>
      </w:r>
      <w:r w:rsidR="00304619">
        <w:rPr>
          <w:rFonts w:ascii="Times New Roman" w:hAnsi="Times New Roman" w:cs="Times New Roman"/>
          <w:sz w:val="24"/>
          <w:szCs w:val="24"/>
        </w:rPr>
        <w:t>d</w:t>
      </w:r>
      <w:r>
        <w:rPr>
          <w:rFonts w:ascii="Times New Roman" w:hAnsi="Times New Roman" w:cs="Times New Roman"/>
          <w:sz w:val="24"/>
          <w:szCs w:val="24"/>
        </w:rPr>
        <w:t xml:space="preserve"> of themselves, these events are simply events; whether </w:t>
      </w:r>
      <w:r w:rsidR="008D4B77">
        <w:rPr>
          <w:rFonts w:ascii="Times New Roman" w:hAnsi="Times New Roman" w:cs="Times New Roman"/>
          <w:sz w:val="24"/>
          <w:szCs w:val="24"/>
        </w:rPr>
        <w:t xml:space="preserve">they actually create the type of disturbance to the ongoing stability of the state that is required from the standpoint of punctuated equilibrium theory is very much an </w:t>
      </w:r>
      <w:r w:rsidR="00CB0335">
        <w:rPr>
          <w:rFonts w:ascii="Times New Roman" w:hAnsi="Times New Roman" w:cs="Times New Roman"/>
          <w:sz w:val="24"/>
          <w:szCs w:val="24"/>
        </w:rPr>
        <w:t xml:space="preserve">empirical question. </w:t>
      </w:r>
      <w:r>
        <w:rPr>
          <w:rFonts w:ascii="Times New Roman" w:hAnsi="Times New Roman" w:cs="Times New Roman"/>
          <w:sz w:val="24"/>
          <w:szCs w:val="24"/>
        </w:rPr>
        <w:t xml:space="preserve"> </w:t>
      </w:r>
    </w:p>
    <w:p w14:paraId="22810121" w14:textId="48EBBC8B" w:rsidR="00DB628A" w:rsidRDefault="00E6419B" w:rsidP="0030461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Consider </w:t>
      </w:r>
      <w:r w:rsidR="00686346">
        <w:rPr>
          <w:rFonts w:ascii="Times New Roman" w:hAnsi="Times New Roman" w:cs="Times New Roman"/>
          <w:sz w:val="24"/>
          <w:szCs w:val="24"/>
        </w:rPr>
        <w:t xml:space="preserve">our </w:t>
      </w:r>
      <w:r>
        <w:rPr>
          <w:rFonts w:ascii="Times New Roman" w:hAnsi="Times New Roman" w:cs="Times New Roman"/>
          <w:sz w:val="24"/>
          <w:szCs w:val="24"/>
        </w:rPr>
        <w:t xml:space="preserve">earlier discussion of the shock literature: there is substantial consensus that political shocks entail events with the following attributes: unanticipated or unexpected by the actors involved; occurring suddenly; and creating a major disruption to current conditions. If these attributes </w:t>
      </w:r>
      <w:r w:rsidR="00B963BB">
        <w:rPr>
          <w:rFonts w:ascii="Times New Roman" w:hAnsi="Times New Roman" w:cs="Times New Roman"/>
          <w:sz w:val="24"/>
          <w:szCs w:val="24"/>
        </w:rPr>
        <w:t xml:space="preserve">constitute what a shock entails, </w:t>
      </w:r>
      <w:r>
        <w:rPr>
          <w:rFonts w:ascii="Times New Roman" w:hAnsi="Times New Roman" w:cs="Times New Roman"/>
          <w:sz w:val="24"/>
          <w:szCs w:val="24"/>
        </w:rPr>
        <w:t xml:space="preserve">then classes of events </w:t>
      </w:r>
      <w:r w:rsidR="00F30186">
        <w:rPr>
          <w:rFonts w:ascii="Times New Roman" w:hAnsi="Times New Roman" w:cs="Times New Roman"/>
          <w:sz w:val="24"/>
          <w:szCs w:val="24"/>
        </w:rPr>
        <w:t xml:space="preserve">may be </w:t>
      </w:r>
      <w:r>
        <w:rPr>
          <w:rFonts w:ascii="Times New Roman" w:hAnsi="Times New Roman" w:cs="Times New Roman"/>
          <w:sz w:val="24"/>
          <w:szCs w:val="24"/>
        </w:rPr>
        <w:t xml:space="preserve">inappropriate </w:t>
      </w:r>
      <w:r w:rsidR="00F30186">
        <w:rPr>
          <w:rFonts w:ascii="Times New Roman" w:hAnsi="Times New Roman" w:cs="Times New Roman"/>
          <w:sz w:val="24"/>
          <w:szCs w:val="24"/>
        </w:rPr>
        <w:t xml:space="preserve">for </w:t>
      </w:r>
      <w:r>
        <w:rPr>
          <w:rFonts w:ascii="Times New Roman" w:hAnsi="Times New Roman" w:cs="Times New Roman"/>
          <w:sz w:val="24"/>
          <w:szCs w:val="24"/>
        </w:rPr>
        <w:t xml:space="preserve">identifying whether a shock has occurred. </w:t>
      </w:r>
      <w:r w:rsidR="00C45DB8">
        <w:rPr>
          <w:rFonts w:ascii="Times New Roman" w:hAnsi="Times New Roman" w:cs="Times New Roman"/>
          <w:sz w:val="24"/>
          <w:szCs w:val="24"/>
        </w:rPr>
        <w:t>Given the surprising aspect of political shocks, broad classes of events may not meet this criterion: s</w:t>
      </w:r>
      <w:r>
        <w:rPr>
          <w:rFonts w:ascii="Times New Roman" w:hAnsi="Times New Roman" w:cs="Times New Roman"/>
          <w:sz w:val="24"/>
          <w:szCs w:val="24"/>
        </w:rPr>
        <w:t>ome wars are unexpected/unanticipated while others are not; the same is the case with civil wars or the loss of external patronage. Some argue that terrorist attacks constitute political shocks</w:t>
      </w:r>
      <w:r w:rsidR="00686346">
        <w:rPr>
          <w:rFonts w:ascii="Times New Roman" w:hAnsi="Times New Roman" w:cs="Times New Roman"/>
          <w:sz w:val="24"/>
          <w:szCs w:val="24"/>
        </w:rPr>
        <w:t>; c</w:t>
      </w:r>
      <w:r>
        <w:rPr>
          <w:rFonts w:ascii="Times New Roman" w:hAnsi="Times New Roman" w:cs="Times New Roman"/>
          <w:sz w:val="24"/>
          <w:szCs w:val="24"/>
        </w:rPr>
        <w:t xml:space="preserve">ertainly few would argue that </w:t>
      </w:r>
      <w:r w:rsidR="00304619">
        <w:rPr>
          <w:rFonts w:ascii="Times New Roman" w:hAnsi="Times New Roman" w:cs="Times New Roman"/>
          <w:sz w:val="24"/>
          <w:szCs w:val="24"/>
        </w:rPr>
        <w:t xml:space="preserve">the terror attack on </w:t>
      </w:r>
      <w:r>
        <w:rPr>
          <w:rFonts w:ascii="Times New Roman" w:hAnsi="Times New Roman" w:cs="Times New Roman"/>
          <w:sz w:val="24"/>
          <w:szCs w:val="24"/>
        </w:rPr>
        <w:t xml:space="preserve">9/11 was not a political shock in the United States. </w:t>
      </w:r>
      <w:r w:rsidR="001F04E4">
        <w:rPr>
          <w:rFonts w:ascii="Times New Roman" w:hAnsi="Times New Roman" w:cs="Times New Roman"/>
          <w:sz w:val="24"/>
          <w:szCs w:val="24"/>
        </w:rPr>
        <w:t>H</w:t>
      </w:r>
      <w:r>
        <w:rPr>
          <w:rFonts w:ascii="Times New Roman" w:hAnsi="Times New Roman" w:cs="Times New Roman"/>
          <w:sz w:val="24"/>
          <w:szCs w:val="24"/>
        </w:rPr>
        <w:t xml:space="preserve">owever, at some point terrorist events can become routinized </w:t>
      </w:r>
      <w:r w:rsidR="00D84A8F">
        <w:rPr>
          <w:rFonts w:ascii="Times New Roman" w:hAnsi="Times New Roman" w:cs="Times New Roman"/>
          <w:sz w:val="24"/>
          <w:szCs w:val="24"/>
        </w:rPr>
        <w:t>and may no longer meet the criterion of being unexpected, unanticipated, and therefore unique.</w:t>
      </w:r>
      <w:r w:rsidR="00D84A8F">
        <w:rPr>
          <w:rStyle w:val="FootnoteReference"/>
          <w:rFonts w:ascii="Times New Roman" w:hAnsi="Times New Roman" w:cs="Times New Roman"/>
          <w:sz w:val="24"/>
          <w:szCs w:val="24"/>
        </w:rPr>
        <w:footnoteReference w:id="15"/>
      </w:r>
      <w:r w:rsidR="00D84A8F">
        <w:rPr>
          <w:rFonts w:ascii="Times New Roman" w:hAnsi="Times New Roman" w:cs="Times New Roman"/>
          <w:sz w:val="24"/>
          <w:szCs w:val="24"/>
        </w:rPr>
        <w:t xml:space="preserve"> </w:t>
      </w:r>
      <w:r w:rsidR="00295656">
        <w:rPr>
          <w:rFonts w:ascii="Times New Roman" w:hAnsi="Times New Roman" w:cs="Times New Roman"/>
          <w:sz w:val="24"/>
          <w:szCs w:val="24"/>
        </w:rPr>
        <w:tab/>
      </w:r>
    </w:p>
    <w:p w14:paraId="41402CD6" w14:textId="62C2BAD1" w:rsidR="007B78B0" w:rsidRDefault="00DC2979" w:rsidP="00E6419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appears to be little issue with the second criterion involving these events: political shock</w:t>
      </w:r>
      <w:r w:rsidR="00686346">
        <w:rPr>
          <w:rFonts w:ascii="Times New Roman" w:hAnsi="Times New Roman" w:cs="Times New Roman"/>
          <w:sz w:val="24"/>
          <w:szCs w:val="24"/>
        </w:rPr>
        <w:t xml:space="preserve">s </w:t>
      </w:r>
      <w:r>
        <w:rPr>
          <w:rFonts w:ascii="Times New Roman" w:hAnsi="Times New Roman" w:cs="Times New Roman"/>
          <w:sz w:val="24"/>
          <w:szCs w:val="24"/>
        </w:rPr>
        <w:t xml:space="preserve">occur suddenly as opposed to manifesting over a long period of time. Virtually all the </w:t>
      </w:r>
      <w:r>
        <w:rPr>
          <w:rFonts w:ascii="Times New Roman" w:hAnsi="Times New Roman" w:cs="Times New Roman"/>
          <w:sz w:val="24"/>
          <w:szCs w:val="24"/>
        </w:rPr>
        <w:lastRenderedPageBreak/>
        <w:t xml:space="preserve">events associated </w:t>
      </w:r>
      <w:r w:rsidR="00983063">
        <w:rPr>
          <w:rFonts w:ascii="Times New Roman" w:hAnsi="Times New Roman" w:cs="Times New Roman"/>
          <w:sz w:val="24"/>
          <w:szCs w:val="24"/>
        </w:rPr>
        <w:t xml:space="preserve">with </w:t>
      </w:r>
      <w:r>
        <w:rPr>
          <w:rFonts w:ascii="Times New Roman" w:hAnsi="Times New Roman" w:cs="Times New Roman"/>
          <w:sz w:val="24"/>
          <w:szCs w:val="24"/>
        </w:rPr>
        <w:t xml:space="preserve">the idea of political shocks in the literature are consistent with this criterion. </w:t>
      </w:r>
      <w:r w:rsidR="008833FE">
        <w:rPr>
          <w:rFonts w:ascii="Times New Roman" w:hAnsi="Times New Roman" w:cs="Times New Roman"/>
          <w:sz w:val="24"/>
          <w:szCs w:val="24"/>
        </w:rPr>
        <w:t xml:space="preserve">It is the third criterion, however, that </w:t>
      </w:r>
      <w:r w:rsidR="001C44A3">
        <w:rPr>
          <w:rFonts w:ascii="Times New Roman" w:hAnsi="Times New Roman" w:cs="Times New Roman"/>
          <w:sz w:val="24"/>
          <w:szCs w:val="24"/>
        </w:rPr>
        <w:t>is</w:t>
      </w:r>
      <w:r w:rsidR="008833FE">
        <w:rPr>
          <w:rFonts w:ascii="Times New Roman" w:hAnsi="Times New Roman" w:cs="Times New Roman"/>
          <w:sz w:val="24"/>
          <w:szCs w:val="24"/>
        </w:rPr>
        <w:t xml:space="preserve"> </w:t>
      </w:r>
      <w:r w:rsidR="00AD02B5">
        <w:rPr>
          <w:rFonts w:ascii="Times New Roman" w:hAnsi="Times New Roman" w:cs="Times New Roman"/>
          <w:sz w:val="24"/>
          <w:szCs w:val="24"/>
        </w:rPr>
        <w:t xml:space="preserve">most </w:t>
      </w:r>
      <w:r w:rsidR="008833FE">
        <w:rPr>
          <w:rFonts w:ascii="Times New Roman" w:hAnsi="Times New Roman" w:cs="Times New Roman"/>
          <w:sz w:val="24"/>
          <w:szCs w:val="24"/>
        </w:rPr>
        <w:t>problematic for many events: having a large enough magnitude to be able to punctuate the ongoing equilibrium or stability in a state’s policy.</w:t>
      </w:r>
      <w:r w:rsidR="000D201E">
        <w:rPr>
          <w:rStyle w:val="FootnoteReference"/>
          <w:rFonts w:ascii="Times New Roman" w:hAnsi="Times New Roman" w:cs="Times New Roman"/>
          <w:sz w:val="24"/>
          <w:szCs w:val="24"/>
        </w:rPr>
        <w:footnoteReference w:id="16"/>
      </w:r>
      <w:r w:rsidR="00304619">
        <w:rPr>
          <w:rFonts w:ascii="Times New Roman" w:hAnsi="Times New Roman" w:cs="Times New Roman"/>
          <w:sz w:val="24"/>
          <w:szCs w:val="24"/>
        </w:rPr>
        <w:t xml:space="preserve"> </w:t>
      </w:r>
      <w:r w:rsidR="000D201E">
        <w:rPr>
          <w:rFonts w:ascii="Times New Roman" w:hAnsi="Times New Roman" w:cs="Times New Roman"/>
          <w:sz w:val="24"/>
          <w:szCs w:val="24"/>
        </w:rPr>
        <w:t xml:space="preserve">How can researchers identify </w:t>
      </w:r>
      <w:r w:rsidR="00304619">
        <w:rPr>
          <w:rFonts w:ascii="Times New Roman" w:hAnsi="Times New Roman" w:cs="Times New Roman"/>
          <w:sz w:val="24"/>
          <w:szCs w:val="24"/>
        </w:rPr>
        <w:t xml:space="preserve">the appropriate magnitude of </w:t>
      </w:r>
      <w:r w:rsidR="00C45DB8">
        <w:rPr>
          <w:rFonts w:ascii="Times New Roman" w:hAnsi="Times New Roman" w:cs="Times New Roman"/>
          <w:sz w:val="24"/>
          <w:szCs w:val="24"/>
        </w:rPr>
        <w:t xml:space="preserve">an event being experienced </w:t>
      </w:r>
      <w:r w:rsidR="00AD02B5">
        <w:rPr>
          <w:rFonts w:ascii="Times New Roman" w:hAnsi="Times New Roman" w:cs="Times New Roman"/>
          <w:sz w:val="24"/>
          <w:szCs w:val="24"/>
        </w:rPr>
        <w:t>in order to consider it as a shock? One way of doing so is to identify policymakers’ claims about these events in order to gauge their perceptions of such magnitude. This is a sound approach for</w:t>
      </w:r>
    </w:p>
    <w:p w14:paraId="02DE8C45" w14:textId="5A9ADA23" w:rsidR="00FE7C16" w:rsidRDefault="00FE7C16" w:rsidP="00FE7C1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case studies but is virtually impossible to accomplish if the scholar is engaged in large-N empirical analysis.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Thus, most of the large-N research has simply assumed that certain classes of events (</w:t>
      </w:r>
      <w:r w:rsidR="00C67713">
        <w:rPr>
          <w:rFonts w:ascii="Times New Roman" w:hAnsi="Times New Roman" w:cs="Times New Roman"/>
          <w:sz w:val="24"/>
          <w:szCs w:val="24"/>
        </w:rPr>
        <w:t>e.g.,</w:t>
      </w:r>
      <w:r>
        <w:rPr>
          <w:rFonts w:ascii="Times New Roman" w:hAnsi="Times New Roman" w:cs="Times New Roman"/>
          <w:sz w:val="24"/>
          <w:szCs w:val="24"/>
        </w:rPr>
        <w:t xml:space="preserve"> wars, civil wars, major acts of terror) carry sufficient magnitude to be categorized as political shocks. At best, as our comments regarding terroris</w:t>
      </w:r>
      <w:r w:rsidR="00D63381">
        <w:rPr>
          <w:rFonts w:ascii="Times New Roman" w:hAnsi="Times New Roman" w:cs="Times New Roman"/>
          <w:sz w:val="24"/>
          <w:szCs w:val="24"/>
        </w:rPr>
        <w:t xml:space="preserve">t activity </w:t>
      </w:r>
      <w:r>
        <w:rPr>
          <w:rFonts w:ascii="Times New Roman" w:hAnsi="Times New Roman" w:cs="Times New Roman"/>
          <w:sz w:val="24"/>
          <w:szCs w:val="24"/>
        </w:rPr>
        <w:t>suggests, this is an overly generous assumption.</w:t>
      </w:r>
    </w:p>
    <w:p w14:paraId="706DA2F1" w14:textId="0AD0D4BD" w:rsidR="00CF6022" w:rsidRDefault="008833FE" w:rsidP="00FE7C1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Therefore, we offer an alternative conceptualization. We suggest that there are </w:t>
      </w:r>
      <w:r w:rsidRPr="0072790B">
        <w:rPr>
          <w:rFonts w:ascii="Times New Roman" w:hAnsi="Times New Roman" w:cs="Times New Roman"/>
          <w:i/>
          <w:iCs/>
          <w:sz w:val="24"/>
          <w:szCs w:val="24"/>
        </w:rPr>
        <w:t xml:space="preserve">potential </w:t>
      </w:r>
      <w:r w:rsidRPr="00722DB2">
        <w:rPr>
          <w:rFonts w:ascii="Times New Roman" w:hAnsi="Times New Roman" w:cs="Times New Roman"/>
          <w:sz w:val="24"/>
          <w:szCs w:val="24"/>
        </w:rPr>
        <w:t>political shocks</w:t>
      </w:r>
      <w:r>
        <w:rPr>
          <w:rFonts w:ascii="Times New Roman" w:hAnsi="Times New Roman" w:cs="Times New Roman"/>
          <w:sz w:val="24"/>
          <w:szCs w:val="24"/>
        </w:rPr>
        <w:t xml:space="preserve"> (PPS’s) and </w:t>
      </w:r>
      <w:r w:rsidRPr="0072790B">
        <w:rPr>
          <w:rFonts w:ascii="Times New Roman" w:hAnsi="Times New Roman" w:cs="Times New Roman"/>
          <w:i/>
          <w:iCs/>
          <w:sz w:val="24"/>
          <w:szCs w:val="24"/>
        </w:rPr>
        <w:t xml:space="preserve">actual </w:t>
      </w:r>
      <w:r w:rsidRPr="00722DB2">
        <w:rPr>
          <w:rFonts w:ascii="Times New Roman" w:hAnsi="Times New Roman" w:cs="Times New Roman"/>
          <w:sz w:val="24"/>
          <w:szCs w:val="24"/>
        </w:rPr>
        <w:t>political shocks</w:t>
      </w:r>
      <w:r>
        <w:rPr>
          <w:rFonts w:ascii="Times New Roman" w:hAnsi="Times New Roman" w:cs="Times New Roman"/>
          <w:sz w:val="24"/>
          <w:szCs w:val="24"/>
        </w:rPr>
        <w:t xml:space="preserve"> (APS’s)</w:t>
      </w:r>
      <w:r w:rsidR="001C44A3">
        <w:rPr>
          <w:rFonts w:ascii="Times New Roman" w:hAnsi="Times New Roman" w:cs="Times New Roman"/>
          <w:sz w:val="24"/>
          <w:szCs w:val="24"/>
        </w:rPr>
        <w:t>,</w:t>
      </w:r>
      <w:r>
        <w:rPr>
          <w:rFonts w:ascii="Times New Roman" w:hAnsi="Times New Roman" w:cs="Times New Roman"/>
          <w:sz w:val="24"/>
          <w:szCs w:val="24"/>
        </w:rPr>
        <w:t xml:space="preserve"> consistent with the theoretical perspective of punctuated equilibrium. Potential political shocks are </w:t>
      </w:r>
      <w:r w:rsidR="00314ADC">
        <w:rPr>
          <w:rFonts w:ascii="Times New Roman" w:hAnsi="Times New Roman" w:cs="Times New Roman"/>
          <w:sz w:val="24"/>
          <w:szCs w:val="24"/>
        </w:rPr>
        <w:t xml:space="preserve">the </w:t>
      </w:r>
      <w:r>
        <w:rPr>
          <w:rFonts w:ascii="Times New Roman" w:hAnsi="Times New Roman" w:cs="Times New Roman"/>
          <w:sz w:val="24"/>
          <w:szCs w:val="24"/>
        </w:rPr>
        <w:t xml:space="preserve">events generally described in the literature: they are unanticipated/unexpected, occur with some </w:t>
      </w:r>
      <w:r w:rsidR="00CF6022">
        <w:rPr>
          <w:rFonts w:ascii="Times New Roman" w:hAnsi="Times New Roman" w:cs="Times New Roman"/>
          <w:sz w:val="24"/>
          <w:szCs w:val="24"/>
        </w:rPr>
        <w:t xml:space="preserve">immediacy, and have the </w:t>
      </w:r>
      <w:r w:rsidR="00CF6022" w:rsidRPr="002D7E0A">
        <w:rPr>
          <w:rFonts w:ascii="Times New Roman" w:hAnsi="Times New Roman" w:cs="Times New Roman"/>
          <w:i/>
          <w:iCs/>
          <w:sz w:val="24"/>
          <w:szCs w:val="24"/>
        </w:rPr>
        <w:t>potential</w:t>
      </w:r>
      <w:r w:rsidR="00CF6022">
        <w:rPr>
          <w:rFonts w:ascii="Times New Roman" w:hAnsi="Times New Roman" w:cs="Times New Roman"/>
          <w:sz w:val="24"/>
          <w:szCs w:val="24"/>
        </w:rPr>
        <w:t xml:space="preserve"> for dramatically altering the status quo. However, they may or may not meet what is at the heart of studies focusing on political shocks: the actual, substantial alteration to a critical aspect of the status quo</w:t>
      </w:r>
      <w:r w:rsidR="00CB0335">
        <w:rPr>
          <w:rFonts w:ascii="Times New Roman" w:hAnsi="Times New Roman" w:cs="Times New Roman"/>
          <w:sz w:val="24"/>
          <w:szCs w:val="24"/>
        </w:rPr>
        <w:t xml:space="preserve"> </w:t>
      </w:r>
      <w:r w:rsidR="00CF6022">
        <w:rPr>
          <w:rFonts w:ascii="Times New Roman" w:hAnsi="Times New Roman" w:cs="Times New Roman"/>
          <w:sz w:val="24"/>
          <w:szCs w:val="24"/>
        </w:rPr>
        <w:t>being experienced by the impacted state.</w:t>
      </w:r>
      <w:r w:rsidR="00617433">
        <w:rPr>
          <w:rStyle w:val="FootnoteReference"/>
          <w:rFonts w:ascii="Times New Roman" w:hAnsi="Times New Roman" w:cs="Times New Roman"/>
          <w:sz w:val="24"/>
          <w:szCs w:val="24"/>
        </w:rPr>
        <w:footnoteReference w:id="18"/>
      </w:r>
      <w:r w:rsidR="00CF6022">
        <w:rPr>
          <w:rFonts w:ascii="Times New Roman" w:hAnsi="Times New Roman" w:cs="Times New Roman"/>
          <w:sz w:val="24"/>
          <w:szCs w:val="24"/>
        </w:rPr>
        <w:t xml:space="preserve">   </w:t>
      </w:r>
    </w:p>
    <w:p w14:paraId="65CEBD91" w14:textId="69A07A9C" w:rsidR="00FB1731" w:rsidRDefault="004678E6" w:rsidP="00FB173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w:t>
      </w:r>
      <w:r w:rsidR="00FB1731">
        <w:rPr>
          <w:rFonts w:ascii="Times New Roman" w:hAnsi="Times New Roman" w:cs="Times New Roman"/>
          <w:sz w:val="24"/>
          <w:szCs w:val="24"/>
        </w:rPr>
        <w:t>, we focus on the concept of actual political shocks. APS’s</w:t>
      </w:r>
      <w:r w:rsidR="00983063">
        <w:rPr>
          <w:rFonts w:ascii="Times New Roman" w:hAnsi="Times New Roman" w:cs="Times New Roman"/>
          <w:sz w:val="24"/>
          <w:szCs w:val="24"/>
        </w:rPr>
        <w:t>, in addition to being unexpected and occurring rapidly,</w:t>
      </w:r>
      <w:r w:rsidR="00FB1731">
        <w:rPr>
          <w:rFonts w:ascii="Times New Roman" w:hAnsi="Times New Roman" w:cs="Times New Roman"/>
          <w:sz w:val="24"/>
          <w:szCs w:val="24"/>
        </w:rPr>
        <w:t xml:space="preserve"> </w:t>
      </w:r>
      <w:r w:rsidR="00ED243A">
        <w:rPr>
          <w:rFonts w:ascii="Times New Roman" w:hAnsi="Times New Roman" w:cs="Times New Roman"/>
          <w:sz w:val="24"/>
          <w:szCs w:val="24"/>
        </w:rPr>
        <w:t xml:space="preserve">also need to meet the criterion of </w:t>
      </w:r>
      <w:r w:rsidR="00FB1731">
        <w:rPr>
          <w:rFonts w:ascii="Times New Roman" w:hAnsi="Times New Roman" w:cs="Times New Roman"/>
          <w:sz w:val="24"/>
          <w:szCs w:val="24"/>
        </w:rPr>
        <w:t xml:space="preserve">demonstrating an </w:t>
      </w:r>
      <w:r w:rsidR="00FB1731" w:rsidRPr="0072790B">
        <w:rPr>
          <w:rFonts w:ascii="Times New Roman" w:hAnsi="Times New Roman" w:cs="Times New Roman"/>
          <w:i/>
          <w:iCs/>
          <w:sz w:val="24"/>
          <w:szCs w:val="24"/>
        </w:rPr>
        <w:t>actual</w:t>
      </w:r>
      <w:r w:rsidR="00FB1731">
        <w:rPr>
          <w:rFonts w:ascii="Times New Roman" w:hAnsi="Times New Roman" w:cs="Times New Roman"/>
          <w:sz w:val="24"/>
          <w:szCs w:val="24"/>
        </w:rPr>
        <w:t xml:space="preserve">, dramatic impact on the status quo within a state, separate from the dependent variable of interest.  If we cannot show </w:t>
      </w:r>
      <w:r w:rsidR="00617433">
        <w:rPr>
          <w:rFonts w:ascii="Times New Roman" w:hAnsi="Times New Roman" w:cs="Times New Roman"/>
          <w:sz w:val="24"/>
          <w:szCs w:val="24"/>
        </w:rPr>
        <w:t>a</w:t>
      </w:r>
      <w:r w:rsidR="00983063">
        <w:rPr>
          <w:rFonts w:ascii="Times New Roman" w:hAnsi="Times New Roman" w:cs="Times New Roman"/>
          <w:sz w:val="24"/>
          <w:szCs w:val="24"/>
        </w:rPr>
        <w:t xml:space="preserve"> disturbance </w:t>
      </w:r>
      <w:r w:rsidR="00617433">
        <w:rPr>
          <w:rFonts w:ascii="Times New Roman" w:hAnsi="Times New Roman" w:cs="Times New Roman"/>
          <w:sz w:val="24"/>
          <w:szCs w:val="24"/>
        </w:rPr>
        <w:t xml:space="preserve">to the ongoing stability </w:t>
      </w:r>
      <w:r w:rsidR="00FB1731">
        <w:rPr>
          <w:rFonts w:ascii="Times New Roman" w:hAnsi="Times New Roman" w:cs="Times New Roman"/>
          <w:sz w:val="24"/>
          <w:szCs w:val="24"/>
        </w:rPr>
        <w:t xml:space="preserve">within the state, then the </w:t>
      </w:r>
      <w:r w:rsidR="00983063">
        <w:rPr>
          <w:rFonts w:ascii="Times New Roman" w:hAnsi="Times New Roman" w:cs="Times New Roman"/>
          <w:sz w:val="24"/>
          <w:szCs w:val="24"/>
        </w:rPr>
        <w:t xml:space="preserve">state has not experienced an actual political shock in our conceptualization. </w:t>
      </w:r>
      <w:r w:rsidR="00FB1731">
        <w:rPr>
          <w:rFonts w:ascii="Times New Roman" w:hAnsi="Times New Roman" w:cs="Times New Roman"/>
          <w:sz w:val="24"/>
          <w:szCs w:val="24"/>
        </w:rPr>
        <w:t xml:space="preserve">In this sense </w:t>
      </w:r>
      <w:r w:rsidR="00B24D86">
        <w:rPr>
          <w:rFonts w:ascii="Times New Roman" w:hAnsi="Times New Roman" w:cs="Times New Roman"/>
          <w:sz w:val="24"/>
          <w:szCs w:val="24"/>
        </w:rPr>
        <w:t xml:space="preserve">our approach is </w:t>
      </w:r>
      <w:r w:rsidR="00617433">
        <w:rPr>
          <w:rFonts w:ascii="Times New Roman" w:hAnsi="Times New Roman" w:cs="Times New Roman"/>
          <w:sz w:val="24"/>
          <w:szCs w:val="24"/>
        </w:rPr>
        <w:t xml:space="preserve">consistent with the theoretical direction of the punctuated equilibrium model gleaned from the literature. At the same </w:t>
      </w:r>
      <w:r w:rsidR="00C67713">
        <w:rPr>
          <w:rFonts w:ascii="Times New Roman" w:hAnsi="Times New Roman" w:cs="Times New Roman"/>
          <w:sz w:val="24"/>
          <w:szCs w:val="24"/>
        </w:rPr>
        <w:t>time,</w:t>
      </w:r>
      <w:r w:rsidR="00617433">
        <w:rPr>
          <w:rFonts w:ascii="Times New Roman" w:hAnsi="Times New Roman" w:cs="Times New Roman"/>
          <w:sz w:val="24"/>
          <w:szCs w:val="24"/>
        </w:rPr>
        <w:t xml:space="preserve"> </w:t>
      </w:r>
      <w:r w:rsidR="00FB1731">
        <w:rPr>
          <w:rFonts w:ascii="Times New Roman" w:hAnsi="Times New Roman" w:cs="Times New Roman"/>
          <w:sz w:val="24"/>
          <w:szCs w:val="24"/>
        </w:rPr>
        <w:t xml:space="preserve">we move beyond </w:t>
      </w:r>
      <w:r w:rsidR="00617433">
        <w:rPr>
          <w:rFonts w:ascii="Times New Roman" w:hAnsi="Times New Roman" w:cs="Times New Roman"/>
          <w:sz w:val="24"/>
          <w:szCs w:val="24"/>
        </w:rPr>
        <w:t>the literature’s emphasis on classes of events by requiring</w:t>
      </w:r>
      <w:r w:rsidR="001C1073">
        <w:rPr>
          <w:rFonts w:ascii="Times New Roman" w:hAnsi="Times New Roman" w:cs="Times New Roman"/>
          <w:sz w:val="24"/>
          <w:szCs w:val="24"/>
        </w:rPr>
        <w:t xml:space="preserve"> an actual </w:t>
      </w:r>
      <w:r w:rsidR="00FB1731">
        <w:rPr>
          <w:rFonts w:ascii="Times New Roman" w:hAnsi="Times New Roman" w:cs="Times New Roman"/>
          <w:sz w:val="24"/>
          <w:szCs w:val="24"/>
        </w:rPr>
        <w:t xml:space="preserve">empirical demonstration of a </w:t>
      </w:r>
      <w:r w:rsidR="00CB0335">
        <w:rPr>
          <w:rFonts w:ascii="Times New Roman" w:hAnsi="Times New Roman" w:cs="Times New Roman"/>
          <w:sz w:val="24"/>
          <w:szCs w:val="24"/>
        </w:rPr>
        <w:t>dramatic</w:t>
      </w:r>
      <w:r w:rsidR="00FB1731">
        <w:rPr>
          <w:rFonts w:ascii="Times New Roman" w:hAnsi="Times New Roman" w:cs="Times New Roman"/>
          <w:sz w:val="24"/>
          <w:szCs w:val="24"/>
        </w:rPr>
        <w:t xml:space="preserve"> change in </w:t>
      </w:r>
      <w:r w:rsidR="00617433">
        <w:rPr>
          <w:rFonts w:ascii="Times New Roman" w:hAnsi="Times New Roman" w:cs="Times New Roman"/>
          <w:sz w:val="24"/>
          <w:szCs w:val="24"/>
        </w:rPr>
        <w:t xml:space="preserve">a </w:t>
      </w:r>
      <w:r w:rsidR="00FB1731">
        <w:rPr>
          <w:rFonts w:ascii="Times New Roman" w:hAnsi="Times New Roman" w:cs="Times New Roman"/>
          <w:sz w:val="24"/>
          <w:szCs w:val="24"/>
        </w:rPr>
        <w:t>state</w:t>
      </w:r>
      <w:r w:rsidR="001C1073">
        <w:rPr>
          <w:rFonts w:ascii="Times New Roman" w:hAnsi="Times New Roman" w:cs="Times New Roman"/>
          <w:sz w:val="24"/>
          <w:szCs w:val="24"/>
        </w:rPr>
        <w:t>’s stability</w:t>
      </w:r>
      <w:r w:rsidR="00B24D86">
        <w:rPr>
          <w:rFonts w:ascii="Times New Roman" w:hAnsi="Times New Roman" w:cs="Times New Roman"/>
          <w:sz w:val="24"/>
          <w:szCs w:val="24"/>
        </w:rPr>
        <w:t xml:space="preserve"> </w:t>
      </w:r>
      <w:r w:rsidR="007A7F10">
        <w:rPr>
          <w:rFonts w:ascii="Times New Roman" w:hAnsi="Times New Roman" w:cs="Times New Roman"/>
          <w:sz w:val="24"/>
          <w:szCs w:val="24"/>
        </w:rPr>
        <w:t>shortly</w:t>
      </w:r>
      <w:r w:rsidR="007A7F10">
        <w:rPr>
          <w:rStyle w:val="FootnoteReference"/>
          <w:rFonts w:ascii="Times New Roman" w:hAnsi="Times New Roman" w:cs="Times New Roman"/>
          <w:sz w:val="24"/>
          <w:szCs w:val="24"/>
        </w:rPr>
        <w:footnoteReference w:id="19"/>
      </w:r>
      <w:r w:rsidR="007A7F10">
        <w:rPr>
          <w:rFonts w:ascii="Times New Roman" w:hAnsi="Times New Roman" w:cs="Times New Roman"/>
          <w:sz w:val="24"/>
          <w:szCs w:val="24"/>
        </w:rPr>
        <w:t xml:space="preserve">  after </w:t>
      </w:r>
      <w:r w:rsidR="00B24D86">
        <w:rPr>
          <w:rFonts w:ascii="Times New Roman" w:hAnsi="Times New Roman" w:cs="Times New Roman"/>
          <w:sz w:val="24"/>
          <w:szCs w:val="24"/>
        </w:rPr>
        <w:t>a potential political shock event</w:t>
      </w:r>
      <w:r w:rsidR="007A7F10">
        <w:rPr>
          <w:rFonts w:ascii="Times New Roman" w:hAnsi="Times New Roman" w:cs="Times New Roman"/>
          <w:sz w:val="24"/>
          <w:szCs w:val="24"/>
        </w:rPr>
        <w:t xml:space="preserve"> has occurred</w:t>
      </w:r>
      <w:r w:rsidR="001C1073">
        <w:rPr>
          <w:rFonts w:ascii="Times New Roman" w:hAnsi="Times New Roman" w:cs="Times New Roman"/>
          <w:sz w:val="24"/>
          <w:szCs w:val="24"/>
        </w:rPr>
        <w:t xml:space="preserve">. </w:t>
      </w:r>
    </w:p>
    <w:p w14:paraId="2104EF60" w14:textId="5A3CFF71" w:rsidR="0072790B" w:rsidRPr="00C81BD9" w:rsidRDefault="00C81BD9" w:rsidP="00C81BD9">
      <w:pPr>
        <w:autoSpaceDE w:val="0"/>
        <w:autoSpaceDN w:val="0"/>
        <w:adjustRightInd w:val="0"/>
        <w:spacing w:after="0" w:line="480" w:lineRule="auto"/>
        <w:rPr>
          <w:rFonts w:ascii="Times New Roman" w:hAnsi="Times New Roman" w:cs="Times New Roman"/>
          <w:b/>
          <w:bCs/>
          <w:sz w:val="24"/>
          <w:szCs w:val="24"/>
        </w:rPr>
      </w:pPr>
      <w:r w:rsidRPr="00C81BD9">
        <w:rPr>
          <w:rFonts w:ascii="Times New Roman" w:hAnsi="Times New Roman" w:cs="Times New Roman"/>
          <w:b/>
          <w:bCs/>
          <w:sz w:val="24"/>
          <w:szCs w:val="24"/>
        </w:rPr>
        <w:t>Operationalizing Actual Political Shocks</w:t>
      </w:r>
    </w:p>
    <w:p w14:paraId="6F430700" w14:textId="01AF62D6" w:rsidR="00831248" w:rsidRDefault="000B1EAC" w:rsidP="007F480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Rather than operationalizing actual political shocks by events type, we propose an approach to operationalization that begins by first identifying instances of </w:t>
      </w:r>
      <w:r w:rsidR="007A7F10">
        <w:rPr>
          <w:rFonts w:ascii="Times New Roman" w:hAnsi="Times New Roman" w:cs="Times New Roman"/>
          <w:sz w:val="24"/>
          <w:szCs w:val="24"/>
        </w:rPr>
        <w:t xml:space="preserve">disruptions to </w:t>
      </w:r>
      <w:r>
        <w:rPr>
          <w:rFonts w:ascii="Times New Roman" w:hAnsi="Times New Roman" w:cs="Times New Roman"/>
          <w:sz w:val="24"/>
          <w:szCs w:val="24"/>
        </w:rPr>
        <w:t xml:space="preserve">a state’s equilibrium, and then second, </w:t>
      </w:r>
      <w:r w:rsidR="001C1073">
        <w:rPr>
          <w:rFonts w:ascii="Times New Roman" w:hAnsi="Times New Roman" w:cs="Times New Roman"/>
          <w:sz w:val="24"/>
          <w:szCs w:val="24"/>
        </w:rPr>
        <w:t xml:space="preserve">by asking if such </w:t>
      </w:r>
      <w:r w:rsidR="007A7F10">
        <w:rPr>
          <w:rFonts w:ascii="Times New Roman" w:hAnsi="Times New Roman" w:cs="Times New Roman"/>
          <w:sz w:val="24"/>
          <w:szCs w:val="24"/>
        </w:rPr>
        <w:t xml:space="preserve">disruptions </w:t>
      </w:r>
      <w:r w:rsidR="001C1073">
        <w:rPr>
          <w:rFonts w:ascii="Times New Roman" w:hAnsi="Times New Roman" w:cs="Times New Roman"/>
          <w:sz w:val="24"/>
          <w:szCs w:val="24"/>
        </w:rPr>
        <w:t xml:space="preserve">are related to events that are typically and immediately associated with such changes. </w:t>
      </w:r>
      <w:r>
        <w:rPr>
          <w:rFonts w:ascii="Times New Roman" w:hAnsi="Times New Roman" w:cs="Times New Roman"/>
          <w:sz w:val="24"/>
          <w:szCs w:val="24"/>
        </w:rPr>
        <w:t xml:space="preserve"> </w:t>
      </w:r>
      <w:r w:rsidR="00DA2FF0">
        <w:rPr>
          <w:rFonts w:ascii="Times New Roman" w:hAnsi="Times New Roman" w:cs="Times New Roman"/>
          <w:sz w:val="24"/>
          <w:szCs w:val="24"/>
        </w:rPr>
        <w:t>What types of disruptions should occur in the context of political shocks? The general international relations literature is heavily populated with works that focus on conditions associated with state instability; space limitations preclude th</w:t>
      </w:r>
      <w:r w:rsidR="00831248">
        <w:rPr>
          <w:rFonts w:ascii="Times New Roman" w:hAnsi="Times New Roman" w:cs="Times New Roman"/>
          <w:sz w:val="24"/>
          <w:szCs w:val="24"/>
        </w:rPr>
        <w:t>eir</w:t>
      </w:r>
      <w:r w:rsidR="00DA2FF0">
        <w:rPr>
          <w:rFonts w:ascii="Times New Roman" w:hAnsi="Times New Roman" w:cs="Times New Roman"/>
          <w:sz w:val="24"/>
          <w:szCs w:val="24"/>
        </w:rPr>
        <w:t xml:space="preserve"> </w:t>
      </w:r>
      <w:r w:rsidR="00831248">
        <w:rPr>
          <w:rFonts w:ascii="Times New Roman" w:hAnsi="Times New Roman" w:cs="Times New Roman"/>
          <w:sz w:val="24"/>
          <w:szCs w:val="24"/>
        </w:rPr>
        <w:t xml:space="preserve">enumeration </w:t>
      </w:r>
      <w:r w:rsidR="00DA2FF0">
        <w:rPr>
          <w:rFonts w:ascii="Times New Roman" w:hAnsi="Times New Roman" w:cs="Times New Roman"/>
          <w:sz w:val="24"/>
          <w:szCs w:val="24"/>
        </w:rPr>
        <w:t>here.</w:t>
      </w:r>
      <w:r w:rsidR="00DA2FF0">
        <w:rPr>
          <w:rStyle w:val="FootnoteReference"/>
          <w:rFonts w:ascii="Times New Roman" w:hAnsi="Times New Roman" w:cs="Times New Roman"/>
          <w:sz w:val="24"/>
          <w:szCs w:val="24"/>
        </w:rPr>
        <w:footnoteReference w:id="20"/>
      </w:r>
      <w:r w:rsidR="00DA2FF0">
        <w:rPr>
          <w:rFonts w:ascii="Times New Roman" w:hAnsi="Times New Roman" w:cs="Times New Roman"/>
          <w:sz w:val="24"/>
          <w:szCs w:val="24"/>
        </w:rPr>
        <w:t xml:space="preserve"> Previous work however suggests two critical dimensions </w:t>
      </w:r>
      <w:r w:rsidR="00BD000B">
        <w:rPr>
          <w:rFonts w:ascii="Times New Roman" w:hAnsi="Times New Roman" w:cs="Times New Roman"/>
          <w:sz w:val="24"/>
          <w:szCs w:val="24"/>
        </w:rPr>
        <w:t>involving</w:t>
      </w:r>
      <w:r w:rsidR="00DA2FF0">
        <w:rPr>
          <w:rFonts w:ascii="Times New Roman" w:hAnsi="Times New Roman" w:cs="Times New Roman"/>
          <w:sz w:val="24"/>
          <w:szCs w:val="24"/>
        </w:rPr>
        <w:t xml:space="preserve"> the stability of states.</w:t>
      </w:r>
      <w:r w:rsidR="00DA2FF0" w:rsidRPr="00DA2FF0">
        <w:rPr>
          <w:rStyle w:val="FootnoteReference"/>
          <w:rFonts w:ascii="Times New Roman" w:hAnsi="Times New Roman" w:cs="Times New Roman"/>
          <w:sz w:val="24"/>
          <w:szCs w:val="24"/>
        </w:rPr>
        <w:t xml:space="preserve"> </w:t>
      </w:r>
      <w:r w:rsidR="00DA2FF0">
        <w:rPr>
          <w:rFonts w:ascii="Times New Roman" w:hAnsi="Times New Roman" w:cs="Times New Roman"/>
          <w:sz w:val="24"/>
          <w:szCs w:val="24"/>
        </w:rPr>
        <w:t xml:space="preserve">One is a </w:t>
      </w:r>
      <w:r w:rsidR="00CB0335">
        <w:rPr>
          <w:rFonts w:ascii="Times New Roman" w:hAnsi="Times New Roman" w:cs="Times New Roman"/>
          <w:sz w:val="24"/>
          <w:szCs w:val="24"/>
        </w:rPr>
        <w:t xml:space="preserve">major change </w:t>
      </w:r>
      <w:r w:rsidR="00DA2FF0">
        <w:rPr>
          <w:rFonts w:ascii="Times New Roman" w:hAnsi="Times New Roman" w:cs="Times New Roman"/>
          <w:sz w:val="24"/>
          <w:szCs w:val="24"/>
        </w:rPr>
        <w:t xml:space="preserve">to a state’s economic </w:t>
      </w:r>
      <w:r w:rsidR="001C44A3">
        <w:rPr>
          <w:rFonts w:ascii="Times New Roman" w:hAnsi="Times New Roman" w:cs="Times New Roman"/>
          <w:sz w:val="24"/>
          <w:szCs w:val="24"/>
        </w:rPr>
        <w:t xml:space="preserve">process and thus its </w:t>
      </w:r>
      <w:r w:rsidR="00DA2FF0">
        <w:rPr>
          <w:rFonts w:ascii="Times New Roman" w:hAnsi="Times New Roman" w:cs="Times New Roman"/>
          <w:sz w:val="24"/>
          <w:szCs w:val="24"/>
        </w:rPr>
        <w:t>resource base (</w:t>
      </w:r>
      <w:r w:rsidR="00451BAA">
        <w:rPr>
          <w:rFonts w:ascii="Times New Roman" w:hAnsi="Times New Roman" w:cs="Times New Roman"/>
          <w:sz w:val="24"/>
          <w:szCs w:val="24"/>
        </w:rPr>
        <w:t>e.g.,</w:t>
      </w:r>
      <w:r w:rsidR="00DA2FF0">
        <w:rPr>
          <w:rFonts w:ascii="Times New Roman" w:hAnsi="Times New Roman" w:cs="Times New Roman"/>
          <w:sz w:val="24"/>
          <w:szCs w:val="24"/>
        </w:rPr>
        <w:t xml:space="preserve"> </w:t>
      </w:r>
      <w:bookmarkStart w:id="3" w:name="_Hlk73177433"/>
      <w:r w:rsidR="00DA2FF0">
        <w:rPr>
          <w:rFonts w:ascii="Times New Roman" w:hAnsi="Times New Roman" w:cs="Times New Roman"/>
          <w:sz w:val="24"/>
          <w:szCs w:val="24"/>
        </w:rPr>
        <w:t>Alesina et. al. 1996, Jong-A-Pin 2009, Blanco and Grier 2008, Fearon and Laitin 2003</w:t>
      </w:r>
      <w:bookmarkEnd w:id="3"/>
      <w:r w:rsidR="00DA2FF0">
        <w:rPr>
          <w:rFonts w:ascii="Times New Roman" w:hAnsi="Times New Roman" w:cs="Times New Roman"/>
          <w:sz w:val="24"/>
          <w:szCs w:val="24"/>
        </w:rPr>
        <w:t xml:space="preserve">). </w:t>
      </w:r>
      <w:r w:rsidR="00DA2FF0">
        <w:rPr>
          <w:rFonts w:ascii="Times New Roman" w:hAnsi="Times New Roman" w:cs="Times New Roman"/>
          <w:sz w:val="24"/>
          <w:szCs w:val="24"/>
        </w:rPr>
        <w:lastRenderedPageBreak/>
        <w:t xml:space="preserve">The second is </w:t>
      </w:r>
      <w:r w:rsidR="00CB0335">
        <w:rPr>
          <w:rFonts w:ascii="Times New Roman" w:hAnsi="Times New Roman" w:cs="Times New Roman"/>
          <w:sz w:val="24"/>
          <w:szCs w:val="24"/>
        </w:rPr>
        <w:t xml:space="preserve">a major change </w:t>
      </w:r>
      <w:r w:rsidR="00DA2FF0">
        <w:rPr>
          <w:rFonts w:ascii="Times New Roman" w:hAnsi="Times New Roman" w:cs="Times New Roman"/>
          <w:sz w:val="24"/>
          <w:szCs w:val="24"/>
        </w:rPr>
        <w:t xml:space="preserve">to </w:t>
      </w:r>
      <w:r w:rsidR="00722DB2">
        <w:rPr>
          <w:rFonts w:ascii="Times New Roman" w:hAnsi="Times New Roman" w:cs="Times New Roman"/>
          <w:sz w:val="24"/>
          <w:szCs w:val="24"/>
        </w:rPr>
        <w:t xml:space="preserve">a </w:t>
      </w:r>
      <w:r w:rsidR="00DA2FF0">
        <w:rPr>
          <w:rFonts w:ascii="Times New Roman" w:hAnsi="Times New Roman" w:cs="Times New Roman"/>
          <w:sz w:val="24"/>
          <w:szCs w:val="24"/>
        </w:rPr>
        <w:t>state</w:t>
      </w:r>
      <w:r w:rsidR="00CB0335">
        <w:rPr>
          <w:rFonts w:ascii="Times New Roman" w:hAnsi="Times New Roman" w:cs="Times New Roman"/>
          <w:sz w:val="24"/>
          <w:szCs w:val="24"/>
        </w:rPr>
        <w:t>’s</w:t>
      </w:r>
      <w:r w:rsidR="00DA2FF0">
        <w:rPr>
          <w:rFonts w:ascii="Times New Roman" w:hAnsi="Times New Roman" w:cs="Times New Roman"/>
          <w:sz w:val="24"/>
          <w:szCs w:val="24"/>
        </w:rPr>
        <w:t xml:space="preserve"> governance </w:t>
      </w:r>
      <w:r w:rsidR="00CB0335">
        <w:rPr>
          <w:rFonts w:ascii="Times New Roman" w:hAnsi="Times New Roman" w:cs="Times New Roman"/>
          <w:sz w:val="24"/>
          <w:szCs w:val="24"/>
        </w:rPr>
        <w:t xml:space="preserve">process </w:t>
      </w:r>
      <w:r w:rsidR="00DA2FF0">
        <w:rPr>
          <w:rFonts w:ascii="Times New Roman" w:hAnsi="Times New Roman" w:cs="Times New Roman"/>
          <w:sz w:val="24"/>
          <w:szCs w:val="24"/>
        </w:rPr>
        <w:t>(e.g.</w:t>
      </w:r>
      <w:r w:rsidR="009D0C5D">
        <w:rPr>
          <w:rFonts w:ascii="Times New Roman" w:hAnsi="Times New Roman" w:cs="Times New Roman"/>
          <w:sz w:val="24"/>
          <w:szCs w:val="24"/>
        </w:rPr>
        <w:t>, Hegre and Sambanis 2006, Alesina &amp; Perotti 1996, Jong-A-Pin 2009</w:t>
      </w:r>
      <w:r w:rsidR="00DA2FF0">
        <w:rPr>
          <w:rFonts w:ascii="Times New Roman" w:hAnsi="Times New Roman" w:cs="Times New Roman"/>
          <w:sz w:val="24"/>
          <w:szCs w:val="24"/>
        </w:rPr>
        <w:t>).</w:t>
      </w:r>
      <w:r w:rsidR="00DA2FF0" w:rsidRPr="00DA2FF0">
        <w:rPr>
          <w:rStyle w:val="FootnoteReference"/>
          <w:rFonts w:ascii="Times New Roman" w:hAnsi="Times New Roman" w:cs="Times New Roman"/>
          <w:sz w:val="24"/>
          <w:szCs w:val="24"/>
        </w:rPr>
        <w:t xml:space="preserve"> </w:t>
      </w:r>
      <w:r w:rsidR="007F480B">
        <w:rPr>
          <w:rFonts w:ascii="Times New Roman" w:hAnsi="Times New Roman" w:cs="Times New Roman"/>
          <w:sz w:val="24"/>
          <w:szCs w:val="24"/>
        </w:rPr>
        <w:t xml:space="preserve">Major changes to a state’s economic resource base and as well to its governance process should create substantial uncertainty for policy makers in addressing potential external security threats, ongoing foreign policy commitments, and internal threats to leadership survival. </w:t>
      </w:r>
      <w:r w:rsidR="005A1367">
        <w:rPr>
          <w:rFonts w:ascii="Times New Roman" w:hAnsi="Times New Roman" w:cs="Times New Roman"/>
          <w:sz w:val="24"/>
          <w:szCs w:val="24"/>
        </w:rPr>
        <w:t>Therefore, we empirically identify short-term,</w:t>
      </w:r>
      <w:r w:rsidR="005A1367">
        <w:rPr>
          <w:rStyle w:val="FootnoteReference"/>
          <w:rFonts w:ascii="Times New Roman" w:hAnsi="Times New Roman" w:cs="Times New Roman"/>
          <w:sz w:val="24"/>
          <w:szCs w:val="24"/>
        </w:rPr>
        <w:footnoteReference w:id="21"/>
      </w:r>
      <w:r w:rsidR="005A1367">
        <w:rPr>
          <w:rFonts w:ascii="Times New Roman" w:hAnsi="Times New Roman" w:cs="Times New Roman"/>
          <w:sz w:val="24"/>
          <w:szCs w:val="24"/>
        </w:rPr>
        <w:t xml:space="preserve"> </w:t>
      </w:r>
      <w:r w:rsidR="00CB0335">
        <w:rPr>
          <w:rFonts w:ascii="Times New Roman" w:hAnsi="Times New Roman" w:cs="Times New Roman"/>
          <w:sz w:val="24"/>
          <w:szCs w:val="24"/>
        </w:rPr>
        <w:t xml:space="preserve">major changes </w:t>
      </w:r>
      <w:r w:rsidR="005A1367">
        <w:rPr>
          <w:rFonts w:ascii="Times New Roman" w:hAnsi="Times New Roman" w:cs="Times New Roman"/>
          <w:sz w:val="24"/>
          <w:szCs w:val="24"/>
        </w:rPr>
        <w:t xml:space="preserve">to a state’s economy and/or its governance </w:t>
      </w:r>
      <w:r w:rsidR="001C44A3">
        <w:rPr>
          <w:rFonts w:ascii="Times New Roman" w:hAnsi="Times New Roman" w:cs="Times New Roman"/>
          <w:sz w:val="24"/>
          <w:szCs w:val="24"/>
        </w:rPr>
        <w:t xml:space="preserve">process </w:t>
      </w:r>
      <w:r w:rsidR="005A1367">
        <w:rPr>
          <w:rFonts w:ascii="Times New Roman" w:hAnsi="Times New Roman" w:cs="Times New Roman"/>
          <w:sz w:val="24"/>
          <w:szCs w:val="24"/>
        </w:rPr>
        <w:t xml:space="preserve">as measures of </w:t>
      </w:r>
      <w:r w:rsidR="007A7F10">
        <w:rPr>
          <w:rFonts w:ascii="Times New Roman" w:hAnsi="Times New Roman" w:cs="Times New Roman"/>
          <w:sz w:val="24"/>
          <w:szCs w:val="24"/>
        </w:rPr>
        <w:t xml:space="preserve">disruptions to a state’s stability. </w:t>
      </w:r>
      <w:r w:rsidR="00BD3740">
        <w:rPr>
          <w:rStyle w:val="FootnoteReference"/>
          <w:rFonts w:ascii="Times New Roman" w:hAnsi="Times New Roman" w:cs="Times New Roman"/>
          <w:sz w:val="24"/>
          <w:szCs w:val="24"/>
        </w:rPr>
        <w:footnoteReference w:id="22"/>
      </w:r>
      <w:r w:rsidR="00EE29E2">
        <w:rPr>
          <w:rFonts w:ascii="Times New Roman" w:hAnsi="Times New Roman" w:cs="Times New Roman"/>
          <w:sz w:val="24"/>
          <w:szCs w:val="24"/>
        </w:rPr>
        <w:t xml:space="preserve"> </w:t>
      </w:r>
    </w:p>
    <w:p w14:paraId="06BD72FD" w14:textId="53C37459" w:rsidR="00C115A5" w:rsidRDefault="001B55D9" w:rsidP="00C81B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operationalize </w:t>
      </w:r>
      <w:r w:rsidR="00395A45">
        <w:rPr>
          <w:rFonts w:ascii="Times New Roman" w:hAnsi="Times New Roman" w:cs="Times New Roman"/>
          <w:sz w:val="24"/>
          <w:szCs w:val="24"/>
        </w:rPr>
        <w:t>major change</w:t>
      </w:r>
      <w:r>
        <w:rPr>
          <w:rFonts w:ascii="Times New Roman" w:hAnsi="Times New Roman" w:cs="Times New Roman"/>
          <w:sz w:val="24"/>
          <w:szCs w:val="24"/>
        </w:rPr>
        <w:t xml:space="preserve"> to </w:t>
      </w:r>
      <w:r w:rsidR="00395A45">
        <w:rPr>
          <w:rFonts w:ascii="Times New Roman" w:hAnsi="Times New Roman" w:cs="Times New Roman"/>
          <w:sz w:val="24"/>
          <w:szCs w:val="24"/>
        </w:rPr>
        <w:t>a</w:t>
      </w:r>
      <w:r>
        <w:rPr>
          <w:rFonts w:ascii="Times New Roman" w:hAnsi="Times New Roman" w:cs="Times New Roman"/>
          <w:sz w:val="24"/>
          <w:szCs w:val="24"/>
        </w:rPr>
        <w:t xml:space="preserve"> state’s economic resource base by first calculating annual growth in GDP, and then identifying cases whe</w:t>
      </w:r>
      <w:r w:rsidR="00395A45">
        <w:rPr>
          <w:rFonts w:ascii="Times New Roman" w:hAnsi="Times New Roman" w:cs="Times New Roman"/>
          <w:sz w:val="24"/>
          <w:szCs w:val="24"/>
        </w:rPr>
        <w:t xml:space="preserve">re </w:t>
      </w:r>
      <w:r>
        <w:rPr>
          <w:rFonts w:ascii="Times New Roman" w:hAnsi="Times New Roman" w:cs="Times New Roman"/>
          <w:sz w:val="24"/>
          <w:szCs w:val="24"/>
        </w:rPr>
        <w:t xml:space="preserve">there is </w:t>
      </w:r>
      <w:r w:rsidR="00866CE1">
        <w:rPr>
          <w:rFonts w:ascii="Times New Roman" w:hAnsi="Times New Roman" w:cs="Times New Roman"/>
          <w:sz w:val="24"/>
          <w:szCs w:val="24"/>
        </w:rPr>
        <w:t xml:space="preserve">a dramatic change </w:t>
      </w:r>
      <w:r>
        <w:rPr>
          <w:rFonts w:ascii="Times New Roman" w:hAnsi="Times New Roman" w:cs="Times New Roman"/>
          <w:sz w:val="24"/>
          <w:szCs w:val="24"/>
        </w:rPr>
        <w:t>from</w:t>
      </w:r>
      <w:r w:rsidR="0000373C">
        <w:rPr>
          <w:rFonts w:ascii="Times New Roman" w:hAnsi="Times New Roman" w:cs="Times New Roman"/>
          <w:sz w:val="24"/>
          <w:szCs w:val="24"/>
        </w:rPr>
        <w:t xml:space="preserve"> the normal</w:t>
      </w:r>
      <w:r>
        <w:rPr>
          <w:rFonts w:ascii="Times New Roman" w:hAnsi="Times New Roman" w:cs="Times New Roman"/>
          <w:sz w:val="24"/>
          <w:szCs w:val="24"/>
        </w:rPr>
        <w:t xml:space="preserve"> annual patterns for each state.</w:t>
      </w:r>
      <w:r w:rsidR="003F03C7">
        <w:rPr>
          <w:rFonts w:ascii="Times New Roman" w:hAnsi="Times New Roman" w:cs="Times New Roman"/>
          <w:sz w:val="24"/>
          <w:szCs w:val="24"/>
        </w:rPr>
        <w:t xml:space="preserve">  </w:t>
      </w:r>
      <w:r w:rsidR="003F03C7" w:rsidRPr="00313B3F">
        <w:rPr>
          <w:rFonts w:ascii="Times New Roman" w:hAnsi="Times New Roman" w:cs="Times New Roman"/>
          <w:sz w:val="24"/>
          <w:szCs w:val="24"/>
        </w:rPr>
        <w:t xml:space="preserve">If the change in growth rate </w:t>
      </w:r>
      <w:r w:rsidR="001C44A3">
        <w:rPr>
          <w:rFonts w:ascii="Times New Roman" w:hAnsi="Times New Roman" w:cs="Times New Roman"/>
          <w:sz w:val="24"/>
          <w:szCs w:val="24"/>
        </w:rPr>
        <w:t xml:space="preserve">in a given year </w:t>
      </w:r>
      <w:r w:rsidR="003F03C7" w:rsidRPr="00313B3F">
        <w:rPr>
          <w:rFonts w:ascii="Times New Roman" w:hAnsi="Times New Roman" w:cs="Times New Roman"/>
          <w:sz w:val="24"/>
          <w:szCs w:val="24"/>
        </w:rPr>
        <w:t>is equal to or greater than one standard deviation</w:t>
      </w:r>
      <w:r w:rsidR="001C44A3">
        <w:rPr>
          <w:rStyle w:val="FootnoteReference"/>
          <w:rFonts w:ascii="Times New Roman" w:hAnsi="Times New Roman" w:cs="Times New Roman"/>
          <w:sz w:val="24"/>
          <w:szCs w:val="24"/>
        </w:rPr>
        <w:footnoteReference w:id="23"/>
      </w:r>
      <w:r w:rsidR="003F03C7">
        <w:rPr>
          <w:rFonts w:ascii="Times New Roman" w:hAnsi="Times New Roman" w:cs="Times New Roman"/>
          <w:sz w:val="24"/>
          <w:szCs w:val="24"/>
        </w:rPr>
        <w:t xml:space="preserve"> </w:t>
      </w:r>
      <w:r w:rsidR="001C44A3">
        <w:rPr>
          <w:rFonts w:ascii="Times New Roman" w:hAnsi="Times New Roman" w:cs="Times New Roman"/>
          <w:sz w:val="24"/>
          <w:szCs w:val="24"/>
        </w:rPr>
        <w:t>beyond its mean rate of change</w:t>
      </w:r>
      <w:r w:rsidR="00C115A5">
        <w:rPr>
          <w:rFonts w:ascii="Times New Roman" w:hAnsi="Times New Roman" w:cs="Times New Roman"/>
          <w:sz w:val="24"/>
          <w:szCs w:val="24"/>
        </w:rPr>
        <w:t>,</w:t>
      </w:r>
      <w:r w:rsidR="003F03C7" w:rsidRPr="003F03C7">
        <w:rPr>
          <w:rFonts w:ascii="Times New Roman" w:hAnsi="Times New Roman" w:cs="Times New Roman"/>
          <w:sz w:val="24"/>
          <w:szCs w:val="24"/>
        </w:rPr>
        <w:t xml:space="preserve"> </w:t>
      </w:r>
      <w:r w:rsidR="00C115A5">
        <w:rPr>
          <w:rFonts w:ascii="Times New Roman" w:hAnsi="Times New Roman" w:cs="Times New Roman"/>
          <w:sz w:val="24"/>
          <w:szCs w:val="24"/>
        </w:rPr>
        <w:t>we consider the change a punctuation in the normal growth rate in a state’s economy. Using this procedure, we identified every case of punctuation in the economic stability of every state (when data were available) between 1961 and 2019</w:t>
      </w:r>
      <w:r w:rsidR="00687EC1">
        <w:rPr>
          <w:rFonts w:ascii="Times New Roman" w:hAnsi="Times New Roman" w:cs="Times New Roman"/>
          <w:sz w:val="24"/>
          <w:szCs w:val="24"/>
        </w:rPr>
        <w:t>.</w:t>
      </w:r>
      <w:r w:rsidR="00C115A5">
        <w:rPr>
          <w:rStyle w:val="FootnoteReference"/>
          <w:rFonts w:ascii="Times New Roman" w:hAnsi="Times New Roman" w:cs="Times New Roman"/>
          <w:sz w:val="24"/>
          <w:szCs w:val="24"/>
        </w:rPr>
        <w:footnoteReference w:id="24"/>
      </w:r>
      <w:r w:rsidR="00C115A5">
        <w:rPr>
          <w:rFonts w:ascii="Times New Roman" w:hAnsi="Times New Roman" w:cs="Times New Roman"/>
          <w:sz w:val="24"/>
          <w:szCs w:val="24"/>
        </w:rPr>
        <w:t xml:space="preserve">  This procedure yielded </w:t>
      </w:r>
      <w:r w:rsidR="001C1073">
        <w:rPr>
          <w:rFonts w:ascii="Times New Roman" w:hAnsi="Times New Roman" w:cs="Times New Roman"/>
          <w:sz w:val="24"/>
          <w:szCs w:val="24"/>
        </w:rPr>
        <w:t>766</w:t>
      </w:r>
      <w:r w:rsidR="00C115A5" w:rsidRPr="00222455">
        <w:rPr>
          <w:rFonts w:ascii="Times New Roman" w:hAnsi="Times New Roman" w:cs="Times New Roman"/>
          <w:sz w:val="24"/>
          <w:szCs w:val="24"/>
        </w:rPr>
        <w:t xml:space="preserve"> cases for roughly </w:t>
      </w:r>
      <w:r w:rsidR="000D03C8">
        <w:rPr>
          <w:rFonts w:ascii="Times New Roman" w:hAnsi="Times New Roman" w:cs="Times New Roman"/>
          <w:sz w:val="24"/>
          <w:szCs w:val="24"/>
        </w:rPr>
        <w:t>177</w:t>
      </w:r>
      <w:r w:rsidR="00C115A5" w:rsidRPr="00222455">
        <w:rPr>
          <w:rFonts w:ascii="Times New Roman" w:hAnsi="Times New Roman" w:cs="Times New Roman"/>
          <w:sz w:val="24"/>
          <w:szCs w:val="24"/>
        </w:rPr>
        <w:t xml:space="preserve"> </w:t>
      </w:r>
      <w:r w:rsidR="00C115A5">
        <w:rPr>
          <w:rFonts w:ascii="Times New Roman" w:hAnsi="Times New Roman" w:cs="Times New Roman"/>
          <w:sz w:val="24"/>
          <w:szCs w:val="24"/>
        </w:rPr>
        <w:t>states.</w:t>
      </w:r>
      <w:r w:rsidR="00C115A5" w:rsidRPr="00222455">
        <w:rPr>
          <w:rStyle w:val="FootnoteReference"/>
          <w:rFonts w:ascii="Times New Roman" w:hAnsi="Times New Roman" w:cs="Times New Roman"/>
          <w:sz w:val="24"/>
          <w:szCs w:val="24"/>
        </w:rPr>
        <w:footnoteReference w:id="25"/>
      </w:r>
    </w:p>
    <w:p w14:paraId="008E4D8A" w14:textId="0A90E533" w:rsidR="00B54190" w:rsidRDefault="00B54190" w:rsidP="000D03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Are these large deviations from the normal ebb and flow of states’ economic growth processes accompanied by events typically classified as shocks in the literature, or can such changes occur without such shocks? To try to answer this question we generated a sample of </w:t>
      </w:r>
      <w:r w:rsidR="007832BC">
        <w:rPr>
          <w:rFonts w:ascii="Times New Roman" w:hAnsi="Times New Roman" w:cs="Times New Roman"/>
          <w:sz w:val="24"/>
          <w:szCs w:val="24"/>
        </w:rPr>
        <w:lastRenderedPageBreak/>
        <w:t xml:space="preserve">over 100 </w:t>
      </w:r>
      <w:r>
        <w:rPr>
          <w:rFonts w:ascii="Times New Roman" w:hAnsi="Times New Roman" w:cs="Times New Roman"/>
          <w:sz w:val="24"/>
          <w:szCs w:val="24"/>
        </w:rPr>
        <w:t>cases from the 766 we had uncovered.</w:t>
      </w:r>
      <w:r w:rsidR="007832BC">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Then, </w:t>
      </w:r>
      <w:r w:rsidR="000D03C8">
        <w:rPr>
          <w:rFonts w:ascii="Times New Roman" w:hAnsi="Times New Roman" w:cs="Times New Roman"/>
          <w:sz w:val="24"/>
          <w:szCs w:val="24"/>
        </w:rPr>
        <w:t xml:space="preserve">we linked these </w:t>
      </w:r>
      <w:r w:rsidR="007832BC">
        <w:rPr>
          <w:rFonts w:ascii="Times New Roman" w:hAnsi="Times New Roman" w:cs="Times New Roman"/>
          <w:sz w:val="24"/>
          <w:szCs w:val="24"/>
        </w:rPr>
        <w:t xml:space="preserve">sampled </w:t>
      </w:r>
      <w:r w:rsidR="000D03C8">
        <w:rPr>
          <w:rFonts w:ascii="Times New Roman" w:hAnsi="Times New Roman" w:cs="Times New Roman"/>
          <w:sz w:val="24"/>
          <w:szCs w:val="24"/>
        </w:rPr>
        <w:t>changes to sets of event categories that the literature indicates are events reflecting political shocks but in our formulation are only considered potential political shocks. These would include the following unanticipated events: economic shocks; natural disasters; regime changes and coups; major interstate and intrastate conflicts; sudden changes in global power distributions, and large terrorist events.</w:t>
      </w:r>
      <w:r w:rsidR="000D03C8">
        <w:rPr>
          <w:rStyle w:val="FootnoteReference"/>
          <w:rFonts w:ascii="Times New Roman" w:hAnsi="Times New Roman" w:cs="Times New Roman"/>
          <w:sz w:val="24"/>
          <w:szCs w:val="24"/>
        </w:rPr>
        <w:footnoteReference w:id="27"/>
      </w:r>
      <w:r w:rsidR="000D03C8">
        <w:rPr>
          <w:rFonts w:ascii="Times New Roman" w:hAnsi="Times New Roman" w:cs="Times New Roman"/>
          <w:sz w:val="24"/>
          <w:szCs w:val="24"/>
        </w:rPr>
        <w:t xml:space="preserve"> </w:t>
      </w:r>
      <w:r>
        <w:rPr>
          <w:rFonts w:ascii="Times New Roman" w:hAnsi="Times New Roman" w:cs="Times New Roman"/>
          <w:sz w:val="24"/>
          <w:szCs w:val="24"/>
        </w:rPr>
        <w:t xml:space="preserve"> Additionally we consulted event history sources when they were available.</w:t>
      </w:r>
      <w:r w:rsidR="004543A9" w:rsidRPr="004543A9">
        <w:rPr>
          <w:rStyle w:val="FootnoteReference"/>
          <w:rFonts w:ascii="Times New Roman" w:hAnsi="Times New Roman" w:cs="Times New Roman"/>
          <w:sz w:val="24"/>
          <w:szCs w:val="24"/>
        </w:rPr>
        <w:t xml:space="preserve"> </w:t>
      </w:r>
      <w:r w:rsidR="004543A9">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
    <w:p w14:paraId="50AD3EC9" w14:textId="763FC299" w:rsidR="004543A9" w:rsidRDefault="007832BC" w:rsidP="000D03C8">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Event tracing is a difficult and ard</w:t>
      </w:r>
      <w:r w:rsidR="00935F5E">
        <w:rPr>
          <w:rFonts w:ascii="Times New Roman" w:hAnsi="Times New Roman" w:cs="Times New Roman"/>
          <w:sz w:val="24"/>
          <w:szCs w:val="24"/>
        </w:rPr>
        <w:t>u</w:t>
      </w:r>
      <w:r>
        <w:rPr>
          <w:rFonts w:ascii="Times New Roman" w:hAnsi="Times New Roman" w:cs="Times New Roman"/>
          <w:sz w:val="24"/>
          <w:szCs w:val="24"/>
        </w:rPr>
        <w:t>ous process</w:t>
      </w:r>
      <w:r w:rsidR="00935F5E">
        <w:rPr>
          <w:rFonts w:ascii="Times New Roman" w:hAnsi="Times New Roman" w:cs="Times New Roman"/>
          <w:sz w:val="24"/>
          <w:szCs w:val="24"/>
        </w:rPr>
        <w:t xml:space="preserve"> and can create numerous potential biases regarding both reliability and validity issues. While reliability issues can be addressed through inter-coder reliability checks, the validity issue is more problematic: many of the 177 states included in this effort have had </w:t>
      </w:r>
      <w:r w:rsidR="00722DB2">
        <w:rPr>
          <w:rFonts w:ascii="Times New Roman" w:hAnsi="Times New Roman" w:cs="Times New Roman"/>
          <w:sz w:val="24"/>
          <w:szCs w:val="24"/>
        </w:rPr>
        <w:t>insufficient</w:t>
      </w:r>
      <w:r w:rsidR="00935F5E">
        <w:rPr>
          <w:rFonts w:ascii="Times New Roman" w:hAnsi="Times New Roman" w:cs="Times New Roman"/>
          <w:sz w:val="24"/>
          <w:szCs w:val="24"/>
        </w:rPr>
        <w:t xml:space="preserve"> attention </w:t>
      </w:r>
      <w:r w:rsidR="00722DB2">
        <w:rPr>
          <w:rFonts w:ascii="Times New Roman" w:hAnsi="Times New Roman" w:cs="Times New Roman"/>
          <w:sz w:val="24"/>
          <w:szCs w:val="24"/>
        </w:rPr>
        <w:t>t</w:t>
      </w:r>
      <w:r w:rsidR="00935F5E">
        <w:rPr>
          <w:rFonts w:ascii="Times New Roman" w:hAnsi="Times New Roman" w:cs="Times New Roman"/>
          <w:sz w:val="24"/>
          <w:szCs w:val="24"/>
        </w:rPr>
        <w:t xml:space="preserve">o them </w:t>
      </w:r>
      <w:r w:rsidR="004543A9">
        <w:rPr>
          <w:rFonts w:ascii="Times New Roman" w:hAnsi="Times New Roman" w:cs="Times New Roman"/>
          <w:sz w:val="24"/>
          <w:szCs w:val="24"/>
        </w:rPr>
        <w:t>either</w:t>
      </w:r>
      <w:r w:rsidR="00935F5E">
        <w:rPr>
          <w:rFonts w:ascii="Times New Roman" w:hAnsi="Times New Roman" w:cs="Times New Roman"/>
          <w:sz w:val="24"/>
          <w:szCs w:val="24"/>
        </w:rPr>
        <w:t xml:space="preserve"> in the academic literature </w:t>
      </w:r>
      <w:r w:rsidR="004543A9">
        <w:rPr>
          <w:rFonts w:ascii="Times New Roman" w:hAnsi="Times New Roman" w:cs="Times New Roman"/>
          <w:sz w:val="24"/>
          <w:szCs w:val="24"/>
        </w:rPr>
        <w:t>or</w:t>
      </w:r>
      <w:r w:rsidR="00935F5E">
        <w:rPr>
          <w:rFonts w:ascii="Times New Roman" w:hAnsi="Times New Roman" w:cs="Times New Roman"/>
          <w:sz w:val="24"/>
          <w:szCs w:val="24"/>
        </w:rPr>
        <w:t xml:space="preserve"> in current events sources. Creating event histories around all 766 cases of major economic change would be highly problematic and likely yield both </w:t>
      </w:r>
      <w:r w:rsidR="00D63381">
        <w:rPr>
          <w:rFonts w:ascii="Times New Roman" w:hAnsi="Times New Roman" w:cs="Times New Roman"/>
          <w:sz w:val="24"/>
          <w:szCs w:val="24"/>
        </w:rPr>
        <w:t xml:space="preserve">many </w:t>
      </w:r>
      <w:r w:rsidR="00935F5E">
        <w:rPr>
          <w:rFonts w:ascii="Times New Roman" w:hAnsi="Times New Roman" w:cs="Times New Roman"/>
          <w:sz w:val="24"/>
          <w:szCs w:val="24"/>
        </w:rPr>
        <w:t>false positives and negatives.</w:t>
      </w:r>
      <w:r w:rsidR="0092599E">
        <w:rPr>
          <w:rFonts w:ascii="Times New Roman" w:hAnsi="Times New Roman" w:cs="Times New Roman"/>
          <w:sz w:val="24"/>
          <w:szCs w:val="24"/>
        </w:rPr>
        <w:t xml:space="preserve"> </w:t>
      </w:r>
    </w:p>
    <w:p w14:paraId="27E8FEA2" w14:textId="659ECB99" w:rsidR="007832BC" w:rsidRDefault="0092599E" w:rsidP="000D03C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Therefore</w:t>
      </w:r>
      <w:r w:rsidR="004543A9">
        <w:rPr>
          <w:rFonts w:ascii="Times New Roman" w:hAnsi="Times New Roman" w:cs="Times New Roman"/>
          <w:sz w:val="24"/>
          <w:szCs w:val="24"/>
        </w:rPr>
        <w:t>,</w:t>
      </w:r>
      <w:r>
        <w:rPr>
          <w:rFonts w:ascii="Times New Roman" w:hAnsi="Times New Roman" w:cs="Times New Roman"/>
          <w:sz w:val="24"/>
          <w:szCs w:val="24"/>
        </w:rPr>
        <w:t xml:space="preserve"> we limited event tracing</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to the sample we generated. </w:t>
      </w:r>
      <w:r w:rsidR="004543A9">
        <w:rPr>
          <w:rFonts w:ascii="Times New Roman" w:hAnsi="Times New Roman" w:cs="Times New Roman"/>
          <w:sz w:val="24"/>
          <w:szCs w:val="24"/>
        </w:rPr>
        <w:t xml:space="preserve">Two coders reviewed the information associated with each </w:t>
      </w:r>
      <w:r w:rsidR="00D63381">
        <w:rPr>
          <w:rFonts w:ascii="Times New Roman" w:hAnsi="Times New Roman" w:cs="Times New Roman"/>
          <w:sz w:val="24"/>
          <w:szCs w:val="24"/>
        </w:rPr>
        <w:t xml:space="preserve">major change </w:t>
      </w:r>
      <w:r w:rsidR="004543A9">
        <w:rPr>
          <w:rFonts w:ascii="Times New Roman" w:hAnsi="Times New Roman" w:cs="Times New Roman"/>
          <w:sz w:val="24"/>
          <w:szCs w:val="24"/>
        </w:rPr>
        <w:t xml:space="preserve">in the sample, searching for qualifying events. To qualify as the appropriate event, it needed to meet the criteria of being both </w:t>
      </w:r>
      <w:r w:rsidR="004543A9">
        <w:rPr>
          <w:rFonts w:ascii="Times New Roman" w:hAnsi="Times New Roman" w:cs="Times New Roman"/>
          <w:sz w:val="24"/>
          <w:szCs w:val="24"/>
        </w:rPr>
        <w:lastRenderedPageBreak/>
        <w:t xml:space="preserve">unanticipated and occurring quickly as well and adjacent or immediately prior to the time the state’s economy </w:t>
      </w:r>
      <w:r w:rsidR="00722DB2">
        <w:rPr>
          <w:rFonts w:ascii="Times New Roman" w:hAnsi="Times New Roman" w:cs="Times New Roman"/>
          <w:sz w:val="24"/>
          <w:szCs w:val="24"/>
        </w:rPr>
        <w:t xml:space="preserve">was </w:t>
      </w:r>
      <w:r w:rsidR="004543A9">
        <w:rPr>
          <w:rFonts w:ascii="Times New Roman" w:hAnsi="Times New Roman" w:cs="Times New Roman"/>
          <w:sz w:val="24"/>
          <w:szCs w:val="24"/>
        </w:rPr>
        <w:t xml:space="preserve">experiencing a major change. </w:t>
      </w:r>
      <w:r>
        <w:rPr>
          <w:rFonts w:ascii="Times New Roman" w:hAnsi="Times New Roman" w:cs="Times New Roman"/>
          <w:sz w:val="24"/>
          <w:szCs w:val="24"/>
        </w:rPr>
        <w:t xml:space="preserve">As noted in Appendix B, </w:t>
      </w:r>
      <w:r w:rsidR="004543A9">
        <w:rPr>
          <w:rFonts w:ascii="Times New Roman" w:hAnsi="Times New Roman" w:cs="Times New Roman"/>
          <w:sz w:val="24"/>
          <w:szCs w:val="24"/>
        </w:rPr>
        <w:t xml:space="preserve">the two coders disagreed on only </w:t>
      </w:r>
      <w:r w:rsidR="00CC477F">
        <w:rPr>
          <w:rFonts w:ascii="Times New Roman" w:hAnsi="Times New Roman" w:cs="Times New Roman"/>
          <w:sz w:val="24"/>
          <w:szCs w:val="24"/>
        </w:rPr>
        <w:t>three</w:t>
      </w:r>
      <w:r w:rsidR="004543A9">
        <w:rPr>
          <w:rFonts w:ascii="Times New Roman" w:hAnsi="Times New Roman" w:cs="Times New Roman"/>
          <w:sz w:val="24"/>
          <w:szCs w:val="24"/>
        </w:rPr>
        <w:t xml:space="preserve"> cases where </w:t>
      </w:r>
      <w:r>
        <w:rPr>
          <w:rFonts w:ascii="Times New Roman" w:hAnsi="Times New Roman" w:cs="Times New Roman"/>
          <w:sz w:val="24"/>
          <w:szCs w:val="24"/>
        </w:rPr>
        <w:t>major economic change may not have been accompanied by events normally associated with political shocks. T</w:t>
      </w:r>
      <w:r w:rsidR="00CC477F">
        <w:rPr>
          <w:rFonts w:ascii="Times New Roman" w:hAnsi="Times New Roman" w:cs="Times New Roman"/>
          <w:sz w:val="24"/>
          <w:szCs w:val="24"/>
        </w:rPr>
        <w:t>wo</w:t>
      </w:r>
      <w:r>
        <w:rPr>
          <w:rFonts w:ascii="Times New Roman" w:hAnsi="Times New Roman" w:cs="Times New Roman"/>
          <w:sz w:val="24"/>
          <w:szCs w:val="24"/>
        </w:rPr>
        <w:t xml:space="preserve"> of the</w:t>
      </w:r>
      <w:r w:rsidR="00D165F2">
        <w:rPr>
          <w:rFonts w:ascii="Times New Roman" w:hAnsi="Times New Roman" w:cs="Times New Roman"/>
          <w:sz w:val="24"/>
          <w:szCs w:val="24"/>
        </w:rPr>
        <w:t>se</w:t>
      </w:r>
      <w:r>
        <w:rPr>
          <w:rFonts w:ascii="Times New Roman" w:hAnsi="Times New Roman" w:cs="Times New Roman"/>
          <w:sz w:val="24"/>
          <w:szCs w:val="24"/>
        </w:rPr>
        <w:t xml:space="preserve"> cases (noted in Appendix B) include </w:t>
      </w:r>
      <w:r w:rsidR="00D165F2">
        <w:rPr>
          <w:rFonts w:ascii="Times New Roman" w:hAnsi="Times New Roman" w:cs="Times New Roman"/>
          <w:sz w:val="24"/>
          <w:szCs w:val="24"/>
        </w:rPr>
        <w:t>circumstances</w:t>
      </w:r>
      <w:r>
        <w:rPr>
          <w:rFonts w:ascii="Times New Roman" w:hAnsi="Times New Roman" w:cs="Times New Roman"/>
          <w:sz w:val="24"/>
          <w:szCs w:val="24"/>
        </w:rPr>
        <w:t xml:space="preserve"> (Russia and Poland, 1992) </w:t>
      </w:r>
      <w:r w:rsidR="00DA2200">
        <w:rPr>
          <w:rFonts w:ascii="Times New Roman" w:hAnsi="Times New Roman" w:cs="Times New Roman"/>
          <w:sz w:val="24"/>
          <w:szCs w:val="24"/>
        </w:rPr>
        <w:t xml:space="preserve">where </w:t>
      </w:r>
      <w:r>
        <w:rPr>
          <w:rFonts w:ascii="Times New Roman" w:hAnsi="Times New Roman" w:cs="Times New Roman"/>
          <w:sz w:val="24"/>
          <w:szCs w:val="24"/>
        </w:rPr>
        <w:t xml:space="preserve">the accompanying event </w:t>
      </w:r>
      <w:r w:rsidR="00DA2200">
        <w:rPr>
          <w:rFonts w:ascii="Times New Roman" w:hAnsi="Times New Roman" w:cs="Times New Roman"/>
          <w:sz w:val="24"/>
          <w:szCs w:val="24"/>
        </w:rPr>
        <w:t>was</w:t>
      </w:r>
      <w:r>
        <w:rPr>
          <w:rFonts w:ascii="Times New Roman" w:hAnsi="Times New Roman" w:cs="Times New Roman"/>
          <w:sz w:val="24"/>
          <w:szCs w:val="24"/>
        </w:rPr>
        <w:t xml:space="preserve"> a policy change </w:t>
      </w:r>
      <w:r w:rsidRPr="00866CE1">
        <w:rPr>
          <w:rFonts w:ascii="Times New Roman" w:hAnsi="Times New Roman" w:cs="Times New Roman"/>
          <w:i/>
          <w:iCs/>
          <w:sz w:val="24"/>
          <w:szCs w:val="24"/>
        </w:rPr>
        <w:t>intended</w:t>
      </w:r>
      <w:r>
        <w:rPr>
          <w:rFonts w:ascii="Times New Roman" w:hAnsi="Times New Roman" w:cs="Times New Roman"/>
          <w:sz w:val="24"/>
          <w:szCs w:val="24"/>
        </w:rPr>
        <w:t xml:space="preserve"> to restructure the state’s economy</w:t>
      </w:r>
      <w:r w:rsidR="00866CE1">
        <w:rPr>
          <w:rFonts w:ascii="Times New Roman" w:hAnsi="Times New Roman" w:cs="Times New Roman"/>
          <w:sz w:val="24"/>
          <w:szCs w:val="24"/>
        </w:rPr>
        <w:t xml:space="preserve"> </w:t>
      </w:r>
      <w:r w:rsidR="00866CE1" w:rsidRPr="00866CE1">
        <w:rPr>
          <w:rFonts w:ascii="Times New Roman" w:hAnsi="Times New Roman" w:cs="Times New Roman"/>
          <w:i/>
          <w:iCs/>
          <w:sz w:val="24"/>
          <w:szCs w:val="24"/>
        </w:rPr>
        <w:t>and</w:t>
      </w:r>
      <w:r>
        <w:rPr>
          <w:rFonts w:ascii="Times New Roman" w:hAnsi="Times New Roman" w:cs="Times New Roman"/>
          <w:sz w:val="24"/>
          <w:szCs w:val="24"/>
        </w:rPr>
        <w:t xml:space="preserve"> result</w:t>
      </w:r>
      <w:r w:rsidR="00DA2200">
        <w:rPr>
          <w:rFonts w:ascii="Times New Roman" w:hAnsi="Times New Roman" w:cs="Times New Roman"/>
          <w:sz w:val="24"/>
          <w:szCs w:val="24"/>
        </w:rPr>
        <w:t>ed</w:t>
      </w:r>
      <w:r>
        <w:rPr>
          <w:rFonts w:ascii="Times New Roman" w:hAnsi="Times New Roman" w:cs="Times New Roman"/>
          <w:sz w:val="24"/>
          <w:szCs w:val="24"/>
        </w:rPr>
        <w:t xml:space="preserve"> in substantial economic damage.</w:t>
      </w:r>
      <w:r w:rsidR="00DA2200">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Whether or not policymakers expected the economic consequence of their actions (e.g. </w:t>
      </w:r>
      <w:r w:rsidR="007778B8">
        <w:rPr>
          <w:rFonts w:ascii="Times New Roman" w:hAnsi="Times New Roman" w:cs="Times New Roman"/>
          <w:sz w:val="24"/>
          <w:szCs w:val="24"/>
        </w:rPr>
        <w:t>major policy failure</w:t>
      </w:r>
      <w:r>
        <w:rPr>
          <w:rFonts w:ascii="Times New Roman" w:hAnsi="Times New Roman" w:cs="Times New Roman"/>
          <w:sz w:val="24"/>
          <w:szCs w:val="24"/>
        </w:rPr>
        <w:t xml:space="preserve">) is very much unclear, and if it </w:t>
      </w:r>
      <w:r w:rsidR="0000373C">
        <w:rPr>
          <w:rFonts w:ascii="Times New Roman" w:hAnsi="Times New Roman" w:cs="Times New Roman"/>
          <w:sz w:val="24"/>
          <w:szCs w:val="24"/>
        </w:rPr>
        <w:t>was expected</w:t>
      </w:r>
      <w:r>
        <w:rPr>
          <w:rFonts w:ascii="Times New Roman" w:hAnsi="Times New Roman" w:cs="Times New Roman"/>
          <w:sz w:val="24"/>
          <w:szCs w:val="24"/>
        </w:rPr>
        <w:t xml:space="preserve">, then it </w:t>
      </w:r>
      <w:r w:rsidR="00BD000B">
        <w:rPr>
          <w:rFonts w:ascii="Times New Roman" w:hAnsi="Times New Roman" w:cs="Times New Roman"/>
          <w:sz w:val="24"/>
          <w:szCs w:val="24"/>
        </w:rPr>
        <w:t>would</w:t>
      </w:r>
      <w:r>
        <w:rPr>
          <w:rFonts w:ascii="Times New Roman" w:hAnsi="Times New Roman" w:cs="Times New Roman"/>
          <w:sz w:val="24"/>
          <w:szCs w:val="24"/>
        </w:rPr>
        <w:t xml:space="preserve"> violate the criterion of being an “</w:t>
      </w:r>
      <w:r w:rsidR="0000373C">
        <w:rPr>
          <w:rFonts w:ascii="Times New Roman" w:hAnsi="Times New Roman" w:cs="Times New Roman"/>
          <w:sz w:val="24"/>
          <w:szCs w:val="24"/>
        </w:rPr>
        <w:t>unanticipated</w:t>
      </w:r>
      <w:r>
        <w:rPr>
          <w:rFonts w:ascii="Times New Roman" w:hAnsi="Times New Roman" w:cs="Times New Roman"/>
          <w:sz w:val="24"/>
          <w:szCs w:val="24"/>
        </w:rPr>
        <w:t xml:space="preserve">” </w:t>
      </w:r>
      <w:r w:rsidR="0000373C">
        <w:rPr>
          <w:rFonts w:ascii="Times New Roman" w:hAnsi="Times New Roman" w:cs="Times New Roman"/>
          <w:sz w:val="24"/>
          <w:szCs w:val="24"/>
        </w:rPr>
        <w:t>event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r w:rsidR="007A15E0">
        <w:rPr>
          <w:rFonts w:ascii="Times New Roman" w:hAnsi="Times New Roman" w:cs="Times New Roman"/>
          <w:sz w:val="24"/>
          <w:szCs w:val="24"/>
        </w:rPr>
        <w:t xml:space="preserve"> Thus, </w:t>
      </w:r>
      <w:r w:rsidR="00DA2200">
        <w:rPr>
          <w:rFonts w:ascii="Times New Roman" w:hAnsi="Times New Roman" w:cs="Times New Roman"/>
          <w:sz w:val="24"/>
          <w:szCs w:val="24"/>
        </w:rPr>
        <w:t xml:space="preserve">even if we </w:t>
      </w:r>
      <w:r w:rsidR="00D165F2">
        <w:rPr>
          <w:rFonts w:ascii="Times New Roman" w:hAnsi="Times New Roman" w:cs="Times New Roman"/>
          <w:sz w:val="24"/>
          <w:szCs w:val="24"/>
        </w:rPr>
        <w:t xml:space="preserve">classify these </w:t>
      </w:r>
      <w:r w:rsidR="00CC477F">
        <w:rPr>
          <w:rFonts w:ascii="Times New Roman" w:hAnsi="Times New Roman" w:cs="Times New Roman"/>
          <w:sz w:val="24"/>
          <w:szCs w:val="24"/>
        </w:rPr>
        <w:t>three</w:t>
      </w:r>
      <w:r w:rsidR="00D165F2">
        <w:rPr>
          <w:rFonts w:ascii="Times New Roman" w:hAnsi="Times New Roman" w:cs="Times New Roman"/>
          <w:sz w:val="24"/>
          <w:szCs w:val="24"/>
        </w:rPr>
        <w:t xml:space="preserve"> cases as false positives, </w:t>
      </w:r>
      <w:r w:rsidR="00DA2200">
        <w:rPr>
          <w:rFonts w:ascii="Times New Roman" w:hAnsi="Times New Roman" w:cs="Times New Roman"/>
          <w:sz w:val="24"/>
          <w:szCs w:val="24"/>
        </w:rPr>
        <w:t xml:space="preserve">there </w:t>
      </w:r>
      <w:r w:rsidR="00D165F2">
        <w:rPr>
          <w:rFonts w:ascii="Times New Roman" w:hAnsi="Times New Roman" w:cs="Times New Roman"/>
          <w:sz w:val="24"/>
          <w:szCs w:val="24"/>
        </w:rPr>
        <w:t xml:space="preserve">still </w:t>
      </w:r>
      <w:r w:rsidR="00DA2200">
        <w:rPr>
          <w:rFonts w:ascii="Times New Roman" w:hAnsi="Times New Roman" w:cs="Times New Roman"/>
          <w:sz w:val="24"/>
          <w:szCs w:val="24"/>
        </w:rPr>
        <w:t>appears to be over 9</w:t>
      </w:r>
      <w:r w:rsidR="00CC477F">
        <w:rPr>
          <w:rFonts w:ascii="Times New Roman" w:hAnsi="Times New Roman" w:cs="Times New Roman"/>
          <w:sz w:val="24"/>
          <w:szCs w:val="24"/>
        </w:rPr>
        <w:t>7</w:t>
      </w:r>
      <w:r w:rsidR="00DA2200">
        <w:rPr>
          <w:rFonts w:ascii="Times New Roman" w:hAnsi="Times New Roman" w:cs="Times New Roman"/>
          <w:sz w:val="24"/>
          <w:szCs w:val="24"/>
        </w:rPr>
        <w:t xml:space="preserve"> percent concurrence between </w:t>
      </w:r>
      <w:r w:rsidR="007A15E0">
        <w:rPr>
          <w:rFonts w:ascii="Times New Roman" w:hAnsi="Times New Roman" w:cs="Times New Roman"/>
          <w:sz w:val="24"/>
          <w:szCs w:val="24"/>
        </w:rPr>
        <w:t xml:space="preserve">the cases in our sample of major economic change </w:t>
      </w:r>
      <w:r w:rsidR="00DA2200">
        <w:rPr>
          <w:rFonts w:ascii="Times New Roman" w:hAnsi="Times New Roman" w:cs="Times New Roman"/>
          <w:sz w:val="24"/>
          <w:szCs w:val="24"/>
        </w:rPr>
        <w:t xml:space="preserve">and </w:t>
      </w:r>
      <w:r w:rsidR="007A15E0">
        <w:rPr>
          <w:rFonts w:ascii="Times New Roman" w:hAnsi="Times New Roman" w:cs="Times New Roman"/>
          <w:sz w:val="24"/>
          <w:szCs w:val="24"/>
        </w:rPr>
        <w:t>potential political shock events, giving us substantial confidence in our empirical approach.</w:t>
      </w:r>
    </w:p>
    <w:p w14:paraId="4E9F493E" w14:textId="596AFE95" w:rsidR="007F4944" w:rsidRDefault="00192480" w:rsidP="007F4944">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Using the same approach to calculate disruptions in the stability of a state’s </w:t>
      </w:r>
      <w:r w:rsidR="00A95A02">
        <w:rPr>
          <w:rFonts w:ascii="Times New Roman" w:hAnsi="Times New Roman" w:cs="Times New Roman"/>
          <w:sz w:val="24"/>
          <w:szCs w:val="24"/>
        </w:rPr>
        <w:t>governance</w:t>
      </w:r>
      <w:r>
        <w:rPr>
          <w:rFonts w:ascii="Times New Roman" w:hAnsi="Times New Roman" w:cs="Times New Roman"/>
          <w:sz w:val="24"/>
          <w:szCs w:val="24"/>
        </w:rPr>
        <w:t xml:space="preserve"> is far more problematic. Both the academic literature and applied work are </w:t>
      </w:r>
      <w:r w:rsidR="00663321">
        <w:rPr>
          <w:rFonts w:ascii="Times New Roman" w:hAnsi="Times New Roman" w:cs="Times New Roman"/>
          <w:sz w:val="24"/>
          <w:szCs w:val="24"/>
        </w:rPr>
        <w:t>populated</w:t>
      </w:r>
      <w:r>
        <w:rPr>
          <w:rFonts w:ascii="Times New Roman" w:hAnsi="Times New Roman" w:cs="Times New Roman"/>
          <w:sz w:val="24"/>
          <w:szCs w:val="24"/>
        </w:rPr>
        <w:t xml:space="preserve"> with a large variety of approaches to measur</w:t>
      </w:r>
      <w:r w:rsidR="00663321">
        <w:rPr>
          <w:rFonts w:ascii="Times New Roman" w:hAnsi="Times New Roman" w:cs="Times New Roman"/>
          <w:sz w:val="24"/>
          <w:szCs w:val="24"/>
        </w:rPr>
        <w:t xml:space="preserve">ing </w:t>
      </w:r>
      <w:r w:rsidR="00866CE1">
        <w:rPr>
          <w:rFonts w:ascii="Times New Roman" w:hAnsi="Times New Roman" w:cs="Times New Roman"/>
          <w:sz w:val="24"/>
          <w:szCs w:val="24"/>
        </w:rPr>
        <w:t xml:space="preserve">political </w:t>
      </w:r>
      <w:r w:rsidR="00663321">
        <w:rPr>
          <w:rFonts w:ascii="Times New Roman" w:hAnsi="Times New Roman" w:cs="Times New Roman"/>
          <w:sz w:val="24"/>
          <w:szCs w:val="24"/>
        </w:rPr>
        <w:t>instability.</w:t>
      </w:r>
      <w:r>
        <w:rPr>
          <w:rFonts w:ascii="Times New Roman" w:hAnsi="Times New Roman" w:cs="Times New Roman"/>
          <w:sz w:val="24"/>
          <w:szCs w:val="24"/>
        </w:rPr>
        <w:t xml:space="preserve"> Unfortunately</w:t>
      </w:r>
      <w:r w:rsidR="00663321">
        <w:rPr>
          <w:rFonts w:ascii="Times New Roman" w:hAnsi="Times New Roman" w:cs="Times New Roman"/>
          <w:sz w:val="24"/>
          <w:szCs w:val="24"/>
        </w:rPr>
        <w:t>,</w:t>
      </w:r>
      <w:r>
        <w:rPr>
          <w:rFonts w:ascii="Times New Roman" w:hAnsi="Times New Roman" w:cs="Times New Roman"/>
          <w:sz w:val="24"/>
          <w:szCs w:val="24"/>
        </w:rPr>
        <w:t xml:space="preserve"> most depend on classes of events to signal instability, and we have the same concerns </w:t>
      </w:r>
      <w:r w:rsidR="007A15E0">
        <w:rPr>
          <w:rFonts w:ascii="Times New Roman" w:hAnsi="Times New Roman" w:cs="Times New Roman"/>
          <w:sz w:val="24"/>
          <w:szCs w:val="24"/>
        </w:rPr>
        <w:t>and questions</w:t>
      </w:r>
      <w:r w:rsidR="007A15E0">
        <w:rPr>
          <w:rStyle w:val="FootnoteReference"/>
          <w:rFonts w:ascii="Times New Roman" w:hAnsi="Times New Roman" w:cs="Times New Roman"/>
          <w:sz w:val="24"/>
          <w:szCs w:val="24"/>
        </w:rPr>
        <w:footnoteReference w:id="32"/>
      </w:r>
      <w:r w:rsidR="007A15E0">
        <w:rPr>
          <w:rFonts w:ascii="Times New Roman" w:hAnsi="Times New Roman" w:cs="Times New Roman"/>
          <w:sz w:val="24"/>
          <w:szCs w:val="24"/>
        </w:rPr>
        <w:t xml:space="preserve">  </w:t>
      </w:r>
      <w:r>
        <w:rPr>
          <w:rFonts w:ascii="Times New Roman" w:hAnsi="Times New Roman" w:cs="Times New Roman"/>
          <w:sz w:val="24"/>
          <w:szCs w:val="24"/>
        </w:rPr>
        <w:t xml:space="preserve">using classes of </w:t>
      </w:r>
      <w:r w:rsidR="00A95A02">
        <w:rPr>
          <w:rFonts w:ascii="Times New Roman" w:hAnsi="Times New Roman" w:cs="Times New Roman"/>
          <w:sz w:val="24"/>
          <w:szCs w:val="24"/>
        </w:rPr>
        <w:t xml:space="preserve">events to measure </w:t>
      </w:r>
      <w:r w:rsidR="002E4312">
        <w:rPr>
          <w:rFonts w:ascii="Times New Roman" w:hAnsi="Times New Roman" w:cs="Times New Roman"/>
          <w:sz w:val="24"/>
          <w:szCs w:val="24"/>
        </w:rPr>
        <w:t xml:space="preserve">disruption </w:t>
      </w:r>
      <w:r>
        <w:rPr>
          <w:rFonts w:ascii="Times New Roman" w:hAnsi="Times New Roman" w:cs="Times New Roman"/>
          <w:sz w:val="24"/>
          <w:szCs w:val="24"/>
        </w:rPr>
        <w:t xml:space="preserve">as we did with equating potential political shocks with actual political shocks. </w:t>
      </w:r>
    </w:p>
    <w:p w14:paraId="5C4B3E11" w14:textId="2A8E7A11" w:rsidR="007F4944" w:rsidRDefault="00C17CD2" w:rsidP="007F4944">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measure we propose is one that </w:t>
      </w:r>
      <w:r w:rsidR="00B34E24">
        <w:rPr>
          <w:rFonts w:ascii="Times New Roman" w:hAnsi="Times New Roman" w:cs="Times New Roman"/>
          <w:sz w:val="24"/>
          <w:szCs w:val="24"/>
        </w:rPr>
        <w:t xml:space="preserve">can </w:t>
      </w:r>
      <w:r w:rsidR="009A1AA0">
        <w:rPr>
          <w:rFonts w:ascii="Times New Roman" w:hAnsi="Times New Roman" w:cs="Times New Roman"/>
          <w:sz w:val="24"/>
          <w:szCs w:val="24"/>
        </w:rPr>
        <w:t xml:space="preserve">consistently reflect major breaks in </w:t>
      </w:r>
      <w:r w:rsidR="00B34E24">
        <w:rPr>
          <w:rFonts w:ascii="Times New Roman" w:hAnsi="Times New Roman" w:cs="Times New Roman"/>
          <w:sz w:val="24"/>
          <w:szCs w:val="24"/>
        </w:rPr>
        <w:t xml:space="preserve">a state’s governance </w:t>
      </w:r>
      <w:r w:rsidR="009A1AA0">
        <w:rPr>
          <w:rFonts w:ascii="Times New Roman" w:hAnsi="Times New Roman" w:cs="Times New Roman"/>
          <w:sz w:val="24"/>
          <w:szCs w:val="24"/>
        </w:rPr>
        <w:t>process, akin to the fluctuations in the state’s economy</w:t>
      </w:r>
      <w:r w:rsidR="007F4944">
        <w:rPr>
          <w:rFonts w:ascii="Times New Roman" w:hAnsi="Times New Roman" w:cs="Times New Roman"/>
          <w:sz w:val="24"/>
          <w:szCs w:val="24"/>
        </w:rPr>
        <w:t>:</w:t>
      </w:r>
      <w:r w:rsidR="009A1AA0">
        <w:rPr>
          <w:rFonts w:ascii="Times New Roman" w:hAnsi="Times New Roman" w:cs="Times New Roman"/>
          <w:sz w:val="24"/>
          <w:szCs w:val="24"/>
        </w:rPr>
        <w:t xml:space="preserve"> </w:t>
      </w:r>
      <w:r w:rsidR="007F4944" w:rsidRPr="00DA31AE">
        <w:rPr>
          <w:rFonts w:ascii="Times New Roman" w:hAnsi="Times New Roman" w:cs="Times New Roman"/>
          <w:sz w:val="24"/>
          <w:szCs w:val="24"/>
        </w:rPr>
        <w:t xml:space="preserve">the relative political </w:t>
      </w:r>
      <w:r w:rsidR="007F4944" w:rsidRPr="00DA31AE">
        <w:rPr>
          <w:rFonts w:ascii="Times New Roman" w:hAnsi="Times New Roman" w:cs="Times New Roman"/>
          <w:sz w:val="24"/>
          <w:szCs w:val="24"/>
        </w:rPr>
        <w:lastRenderedPageBreak/>
        <w:t xml:space="preserve">extraction </w:t>
      </w:r>
      <w:r w:rsidR="007F4944">
        <w:rPr>
          <w:rFonts w:ascii="Times New Roman" w:hAnsi="Times New Roman" w:cs="Times New Roman"/>
          <w:sz w:val="24"/>
          <w:szCs w:val="24"/>
        </w:rPr>
        <w:t xml:space="preserve">(RPE) </w:t>
      </w:r>
      <w:r w:rsidR="007F4944" w:rsidRPr="00DA31AE">
        <w:rPr>
          <w:rFonts w:ascii="Times New Roman" w:hAnsi="Times New Roman" w:cs="Times New Roman"/>
          <w:sz w:val="24"/>
          <w:szCs w:val="24"/>
        </w:rPr>
        <w:t>measure pioneered by Kugler and associates (Kugler and Tammen 2012, Arbetman and Kugler 2018</w:t>
      </w:r>
      <w:r w:rsidR="007F4944">
        <w:rPr>
          <w:rFonts w:ascii="Times New Roman" w:hAnsi="Times New Roman" w:cs="Times New Roman"/>
          <w:sz w:val="24"/>
          <w:szCs w:val="24"/>
        </w:rPr>
        <w:t>).</w:t>
      </w:r>
      <w:r w:rsidR="007F4944">
        <w:rPr>
          <w:rStyle w:val="FootnoteReference"/>
          <w:rFonts w:ascii="Times New Roman" w:hAnsi="Times New Roman" w:cs="Times New Roman"/>
          <w:sz w:val="24"/>
          <w:szCs w:val="24"/>
        </w:rPr>
        <w:footnoteReference w:id="33"/>
      </w:r>
      <w:r w:rsidR="007F4944">
        <w:rPr>
          <w:rFonts w:ascii="Times New Roman" w:hAnsi="Times New Roman" w:cs="Times New Roman"/>
          <w:sz w:val="24"/>
          <w:szCs w:val="24"/>
        </w:rPr>
        <w:t xml:space="preserve"> Political extraction of resources for governmental purposes is clearly a political process; substantial “under-extraction” reflects either the inability or unwillingness of the government to generate the typical amount of resources it usually does for both domestic and foreign policy pursuits. </w:t>
      </w:r>
      <w:r w:rsidR="00BD000B">
        <w:rPr>
          <w:rFonts w:ascii="Times New Roman" w:hAnsi="Times New Roman" w:cs="Times New Roman"/>
          <w:sz w:val="24"/>
          <w:szCs w:val="24"/>
        </w:rPr>
        <w:t>S</w:t>
      </w:r>
      <w:r w:rsidR="007F4944">
        <w:rPr>
          <w:rFonts w:ascii="Times New Roman" w:hAnsi="Times New Roman" w:cs="Times New Roman"/>
          <w:sz w:val="24"/>
          <w:szCs w:val="24"/>
        </w:rPr>
        <w:t xml:space="preserve">ubstantial “over-extraction” indicates that the government is </w:t>
      </w:r>
      <w:r>
        <w:rPr>
          <w:rFonts w:ascii="Times New Roman" w:hAnsi="Times New Roman" w:cs="Times New Roman"/>
          <w:sz w:val="24"/>
          <w:szCs w:val="24"/>
        </w:rPr>
        <w:t xml:space="preserve">likely responding to some immediate stimulus by </w:t>
      </w:r>
      <w:r w:rsidR="007F4944">
        <w:rPr>
          <w:rFonts w:ascii="Times New Roman" w:hAnsi="Times New Roman" w:cs="Times New Roman"/>
          <w:sz w:val="24"/>
          <w:szCs w:val="24"/>
        </w:rPr>
        <w:t xml:space="preserve">generating unusual amounts of </w:t>
      </w:r>
      <w:r>
        <w:rPr>
          <w:rFonts w:ascii="Times New Roman" w:hAnsi="Times New Roman" w:cs="Times New Roman"/>
          <w:sz w:val="24"/>
          <w:szCs w:val="24"/>
        </w:rPr>
        <w:t xml:space="preserve">additional </w:t>
      </w:r>
      <w:r w:rsidR="007F4944">
        <w:rPr>
          <w:rFonts w:ascii="Times New Roman" w:hAnsi="Times New Roman" w:cs="Times New Roman"/>
          <w:sz w:val="24"/>
          <w:szCs w:val="24"/>
        </w:rPr>
        <w:t xml:space="preserve">revenue </w:t>
      </w:r>
      <w:r>
        <w:rPr>
          <w:rFonts w:ascii="Times New Roman" w:hAnsi="Times New Roman" w:cs="Times New Roman"/>
          <w:sz w:val="24"/>
          <w:szCs w:val="24"/>
        </w:rPr>
        <w:t>for</w:t>
      </w:r>
      <w:r w:rsidR="007F4944">
        <w:rPr>
          <w:rFonts w:ascii="Times New Roman" w:hAnsi="Times New Roman" w:cs="Times New Roman"/>
          <w:sz w:val="24"/>
          <w:szCs w:val="24"/>
        </w:rPr>
        <w:t xml:space="preserve"> policy purpose</w:t>
      </w:r>
      <w:r>
        <w:rPr>
          <w:rFonts w:ascii="Times New Roman" w:hAnsi="Times New Roman" w:cs="Times New Roman"/>
          <w:sz w:val="24"/>
          <w:szCs w:val="24"/>
        </w:rPr>
        <w:t>s</w:t>
      </w:r>
      <w:r w:rsidR="007F4944">
        <w:rPr>
          <w:rFonts w:ascii="Times New Roman" w:hAnsi="Times New Roman" w:cs="Times New Roman"/>
          <w:sz w:val="24"/>
          <w:szCs w:val="24"/>
        </w:rPr>
        <w:t xml:space="preserve">. Both major downward </w:t>
      </w:r>
      <w:r w:rsidR="0000373C">
        <w:rPr>
          <w:rFonts w:ascii="Times New Roman" w:hAnsi="Times New Roman" w:cs="Times New Roman"/>
          <w:sz w:val="24"/>
          <w:szCs w:val="24"/>
        </w:rPr>
        <w:t>and</w:t>
      </w:r>
      <w:r w:rsidR="007F4944">
        <w:rPr>
          <w:rFonts w:ascii="Times New Roman" w:hAnsi="Times New Roman" w:cs="Times New Roman"/>
          <w:sz w:val="24"/>
          <w:szCs w:val="24"/>
        </w:rPr>
        <w:t xml:space="preserve"> upward </w:t>
      </w:r>
      <w:r w:rsidR="0000373C">
        <w:rPr>
          <w:rFonts w:ascii="Times New Roman" w:hAnsi="Times New Roman" w:cs="Times New Roman"/>
          <w:sz w:val="24"/>
          <w:szCs w:val="24"/>
        </w:rPr>
        <w:t>changes</w:t>
      </w:r>
      <w:r w:rsidR="007F4944">
        <w:rPr>
          <w:rFonts w:ascii="Times New Roman" w:hAnsi="Times New Roman" w:cs="Times New Roman"/>
          <w:sz w:val="24"/>
          <w:szCs w:val="24"/>
        </w:rPr>
        <w:t xml:space="preserve"> in political extraction in a given year should indicate punctuations in the political equilibrium</w:t>
      </w:r>
      <w:r>
        <w:rPr>
          <w:rFonts w:ascii="Times New Roman" w:hAnsi="Times New Roman" w:cs="Times New Roman"/>
          <w:sz w:val="24"/>
          <w:szCs w:val="24"/>
        </w:rPr>
        <w:t xml:space="preserve">, as a function of actual shocks to its </w:t>
      </w:r>
      <w:r w:rsidR="007F4944">
        <w:rPr>
          <w:rFonts w:ascii="Times New Roman" w:hAnsi="Times New Roman" w:cs="Times New Roman"/>
          <w:sz w:val="24"/>
          <w:szCs w:val="24"/>
        </w:rPr>
        <w:t>political system.</w:t>
      </w:r>
      <w:r w:rsidR="00145CEE">
        <w:rPr>
          <w:rStyle w:val="FootnoteReference"/>
          <w:rFonts w:ascii="Times New Roman" w:hAnsi="Times New Roman" w:cs="Times New Roman"/>
          <w:sz w:val="24"/>
          <w:szCs w:val="24"/>
        </w:rPr>
        <w:footnoteReference w:id="34"/>
      </w:r>
      <w:r w:rsidR="007F4944">
        <w:rPr>
          <w:rFonts w:ascii="Times New Roman" w:hAnsi="Times New Roman" w:cs="Times New Roman"/>
          <w:sz w:val="24"/>
          <w:szCs w:val="24"/>
        </w:rPr>
        <w:t xml:space="preserve"> </w:t>
      </w:r>
    </w:p>
    <w:p w14:paraId="69FCB79D" w14:textId="5ACF877E" w:rsidR="00D170B8" w:rsidRDefault="00145CEE" w:rsidP="00D170B8">
      <w:pPr>
        <w:autoSpaceDE w:val="0"/>
        <w:autoSpaceDN w:val="0"/>
        <w:adjustRightInd w:val="0"/>
        <w:spacing w:after="0" w:line="480" w:lineRule="auto"/>
        <w:ind w:right="-270"/>
        <w:rPr>
          <w:rFonts w:ascii="Times New Roman" w:hAnsi="Times New Roman" w:cs="Times New Roman"/>
          <w:sz w:val="24"/>
          <w:szCs w:val="24"/>
        </w:rPr>
      </w:pPr>
      <w:r>
        <w:rPr>
          <w:rFonts w:ascii="Times New Roman" w:hAnsi="Times New Roman" w:cs="Times New Roman"/>
          <w:sz w:val="24"/>
          <w:szCs w:val="24"/>
        </w:rPr>
        <w:t xml:space="preserve"> </w:t>
      </w:r>
      <w:r w:rsidR="00262B65">
        <w:rPr>
          <w:rFonts w:ascii="Times New Roman" w:hAnsi="Times New Roman" w:cs="Times New Roman"/>
          <w:sz w:val="24"/>
          <w:szCs w:val="24"/>
        </w:rPr>
        <w:tab/>
      </w:r>
      <w:r w:rsidR="00D170B8">
        <w:rPr>
          <w:rFonts w:ascii="Times New Roman" w:hAnsi="Times New Roman" w:cs="Times New Roman"/>
          <w:sz w:val="24"/>
          <w:szCs w:val="24"/>
        </w:rPr>
        <w:t xml:space="preserve">As with economic disruption, we generate a set of cases, using the Kugler et al. RPE data, to identify instances across states (and time) when a state dramatically “under” or “over” extracts resources from its economy at a rate that is one standard deviation beyond its normal (mean) rate of extraction. This exercise yields 823 cases across 177 states for the 1961-2017 timeframe. Essentially these cases constitute a dimension separate from cases based on major economic change. While there is some overlap, the correlation between the two dimensions is quite low at .25.   </w:t>
      </w:r>
    </w:p>
    <w:p w14:paraId="75F91D7B" w14:textId="104FE558" w:rsidR="00D63381" w:rsidRDefault="00D63381" w:rsidP="00D6338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illustrate a sense of face validity for the cases using RPE-based punctuations, we offer two examples, using two very dissimilar states: the U.S. and Sierra Leone. Figure 3, demonstrating RPE-based punctuations to the political equilibrium of the United States,</w:t>
      </w:r>
      <w:r w:rsidRPr="00D170B8">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illustrates well the difference between potential versus actual political shocks. Between 1961and </w:t>
      </w:r>
      <w:r>
        <w:rPr>
          <w:rFonts w:ascii="Times New Roman" w:hAnsi="Times New Roman" w:cs="Times New Roman"/>
          <w:sz w:val="24"/>
          <w:szCs w:val="24"/>
        </w:rPr>
        <w:lastRenderedPageBreak/>
        <w:t>2017 there are six instances</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of punctuations in the political equilibrium; these are the six cases that surpass the mean rate of change in political extraction by one standard deviation. All of these major changes are accompanied by well-known events considered to be major political shocks: the 1964-65 case follows immediately after the assassination of President Kennedy; the 1969 case is associated with the shock of the Tet offensive; the 1971 case parallels the first major oil shock of the 1970s; the 1983 case is associated with the bombing of the U.S. Marine barracks in Lebanon; the 2002 case is immediately preceded by 9/11; and the 2009 case is virtually in tandem with the global economic crisis of 2008.</w:t>
      </w:r>
    </w:p>
    <w:p w14:paraId="4224240B" w14:textId="07970D80" w:rsidR="00D63381" w:rsidRDefault="00D63381" w:rsidP="00D63381">
      <w:pPr>
        <w:autoSpaceDE w:val="0"/>
        <w:autoSpaceDN w:val="0"/>
        <w:adjustRightInd w:val="0"/>
        <w:spacing w:after="0"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19680" behindDoc="0" locked="0" layoutInCell="1" allowOverlap="1" wp14:anchorId="48ED9056" wp14:editId="62B2F466">
                <wp:simplePos x="0" y="0"/>
                <wp:positionH relativeFrom="column">
                  <wp:posOffset>5589767</wp:posOffset>
                </wp:positionH>
                <wp:positionV relativeFrom="paragraph">
                  <wp:posOffset>1341120</wp:posOffset>
                </wp:positionV>
                <wp:extent cx="739471" cy="1526650"/>
                <wp:effectExtent l="38100" t="38100" r="22860" b="16510"/>
                <wp:wrapNone/>
                <wp:docPr id="23" name="Straight Arrow Connector 23"/>
                <wp:cNvGraphicFramePr/>
                <a:graphic xmlns:a="http://schemas.openxmlformats.org/drawingml/2006/main">
                  <a:graphicData uri="http://schemas.microsoft.com/office/word/2010/wordprocessingShape">
                    <wps:wsp>
                      <wps:cNvCnPr/>
                      <wps:spPr>
                        <a:xfrm flipH="1" flipV="1">
                          <a:off x="0" y="0"/>
                          <a:ext cx="739471" cy="1526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F5B96D" id="_x0000_t32" coordsize="21600,21600" o:spt="32" o:oned="t" path="m,l21600,21600e" filled="f">
                <v:path arrowok="t" fillok="f" o:connecttype="none"/>
                <o:lock v:ext="edit" shapetype="t"/>
              </v:shapetype>
              <v:shape id="Straight Arrow Connector 23" o:spid="_x0000_s1026" type="#_x0000_t32" style="position:absolute;margin-left:440.15pt;margin-top:105.6pt;width:58.25pt;height:120.2pt;flip:x 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" strokecolor="#4472c4 [3204]" strokeweight=".5pt">
                <v:stroke endarrow="block" joinstyle="miter"/>
              </v:shape>
            </w:pict>
          </mc:Fallback>
        </mc:AlternateContent>
      </w:r>
      <w:r>
        <w:rPr>
          <w:noProof/>
        </w:rPr>
        <w:drawing>
          <wp:inline distT="0" distB="0" distL="0" distR="0" wp14:anchorId="3893A148" wp14:editId="770AD978">
            <wp:extent cx="5772647" cy="2682875"/>
            <wp:effectExtent l="0" t="0" r="0" b="3175"/>
            <wp:docPr id="5" name="Chart 5">
              <a:extLst xmlns:a="http://schemas.openxmlformats.org/drawingml/2006/main">
                <a:ext uri="{FF2B5EF4-FFF2-40B4-BE49-F238E27FC236}">
                  <a16:creationId xmlns:a16="http://schemas.microsoft.com/office/drawing/2014/main" id="{2BEDDE34-6F21-4EB8-BBC9-0C7EED9C74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B60399" w14:textId="7A4D561C" w:rsidR="00145CEE" w:rsidRDefault="00D63381" w:rsidP="00D63381">
      <w:pPr>
        <w:autoSpaceDE w:val="0"/>
        <w:autoSpaceDN w:val="0"/>
        <w:adjustRightInd w:val="0"/>
        <w:spacing w:after="0" w:line="480" w:lineRule="auto"/>
        <w:ind w:firstLine="720"/>
        <w:rPr>
          <w:rFonts w:ascii="Times New Roman" w:hAnsi="Times New Roman" w:cs="Times New Roman"/>
          <w:sz w:val="24"/>
          <w:szCs w:val="24"/>
        </w:rPr>
      </w:pPr>
      <w:r w:rsidRPr="006770C8">
        <w:rPr>
          <w:rFonts w:ascii="Times New Roman" w:hAnsi="Times New Roman" w:cs="Times New Roman"/>
          <w:noProof/>
          <w:sz w:val="24"/>
          <w:szCs w:val="24"/>
        </w:rPr>
        <mc:AlternateContent>
          <mc:Choice Requires="wps">
            <w:drawing>
              <wp:anchor distT="45720" distB="45720" distL="114300" distR="114300" simplePos="0" relativeHeight="251718656" behindDoc="0" locked="0" layoutInCell="1" allowOverlap="1" wp14:anchorId="2778984B" wp14:editId="39B58E28">
                <wp:simplePos x="0" y="0"/>
                <wp:positionH relativeFrom="margin">
                  <wp:posOffset>5852160</wp:posOffset>
                </wp:positionH>
                <wp:positionV relativeFrom="paragraph">
                  <wp:posOffset>11430</wp:posOffset>
                </wp:positionV>
                <wp:extent cx="858520" cy="301625"/>
                <wp:effectExtent l="0" t="0" r="17780"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01625"/>
                        </a:xfrm>
                        <a:prstGeom prst="rect">
                          <a:avLst/>
                        </a:prstGeom>
                        <a:solidFill>
                          <a:srgbClr val="FFFFFF"/>
                        </a:solidFill>
                        <a:ln w="9525">
                          <a:solidFill>
                            <a:srgbClr val="000000"/>
                          </a:solidFill>
                          <a:miter lim="800000"/>
                          <a:headEnd/>
                          <a:tailEnd/>
                        </a:ln>
                      </wps:spPr>
                      <wps:txbx>
                        <w:txbxContent>
                          <w:p w14:paraId="3DD6FD04" w14:textId="77777777" w:rsidR="00D63381" w:rsidRDefault="00D63381" w:rsidP="00D63381">
                            <w:pPr>
                              <w:ind w:right="-548"/>
                            </w:pPr>
                            <w:r>
                              <w:t>SD threshold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8984B" id="_x0000_t202" coordsize="21600,21600" o:spt="202" path="m,l,21600r21600,l21600,xe">
                <v:stroke joinstyle="miter"/>
                <v:path gradientshapeok="t" o:connecttype="rect"/>
              </v:shapetype>
              <v:shape id="Text Box 2" o:spid="_x0000_s1026" type="#_x0000_t202" style="position:absolute;left:0;text-align:left;margin-left:460.8pt;margin-top:.9pt;width:67.6pt;height:23.7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">
                <v:textbox>
                  <w:txbxContent>
                    <w:p w14:paraId="3DD6FD04" w14:textId="77777777" w:rsidR="00D63381" w:rsidRDefault="00D63381" w:rsidP="00D63381">
                      <w:pPr>
                        <w:ind w:right="-548"/>
                      </w:pPr>
                      <w:r>
                        <w:t>SD threshold</w:t>
                      </w:r>
                    </w:p>
                  </w:txbxContent>
                </v:textbox>
                <w10:wrap type="square" anchorx="margin"/>
              </v:shape>
            </w:pict>
          </mc:Fallback>
        </mc:AlternateContent>
      </w:r>
      <w:bookmarkStart w:id="6" w:name="_Hlk78184088"/>
      <w:r w:rsidR="00AD24E7">
        <w:rPr>
          <w:rFonts w:ascii="Times New Roman" w:hAnsi="Times New Roman" w:cs="Times New Roman"/>
          <w:sz w:val="24"/>
          <w:szCs w:val="24"/>
        </w:rPr>
        <w:t xml:space="preserve"> </w:t>
      </w:r>
      <w:bookmarkEnd w:id="6"/>
      <w:r w:rsidR="008B6BBF">
        <w:rPr>
          <w:rFonts w:ascii="Times New Roman" w:hAnsi="Times New Roman" w:cs="Times New Roman"/>
          <w:sz w:val="24"/>
          <w:szCs w:val="24"/>
        </w:rPr>
        <w:t>As we had argued earlier, t</w:t>
      </w:r>
      <w:r w:rsidR="00262B65">
        <w:rPr>
          <w:rFonts w:ascii="Times New Roman" w:hAnsi="Times New Roman" w:cs="Times New Roman"/>
          <w:sz w:val="24"/>
          <w:szCs w:val="24"/>
        </w:rPr>
        <w:t>he U.S. case also illustrates that not all potential political shock events translate into</w:t>
      </w:r>
      <w:r w:rsidR="0000373C">
        <w:rPr>
          <w:rFonts w:ascii="Times New Roman" w:hAnsi="Times New Roman" w:cs="Times New Roman"/>
          <w:sz w:val="24"/>
          <w:szCs w:val="24"/>
        </w:rPr>
        <w:t xml:space="preserve"> </w:t>
      </w:r>
      <w:r w:rsidR="00CC68FA">
        <w:rPr>
          <w:rFonts w:ascii="Times New Roman" w:hAnsi="Times New Roman" w:cs="Times New Roman"/>
          <w:sz w:val="24"/>
          <w:szCs w:val="24"/>
        </w:rPr>
        <w:t xml:space="preserve">actual ones. For instance, the second oil crisis at the end of the 1970s does not have the impact that the first one registered; there is no punctuation in the political equilibrium. Likewise, while the attacks on </w:t>
      </w:r>
      <w:r w:rsidR="00DA2200">
        <w:rPr>
          <w:rFonts w:ascii="Times New Roman" w:hAnsi="Times New Roman" w:cs="Times New Roman"/>
          <w:sz w:val="24"/>
          <w:szCs w:val="24"/>
        </w:rPr>
        <w:t>U.S. m</w:t>
      </w:r>
      <w:r w:rsidR="00CC68FA">
        <w:rPr>
          <w:rFonts w:ascii="Times New Roman" w:hAnsi="Times New Roman" w:cs="Times New Roman"/>
          <w:sz w:val="24"/>
          <w:szCs w:val="24"/>
        </w:rPr>
        <w:t xml:space="preserve">arines in Beirut and the 9/11 attack on the U.S. </w:t>
      </w:r>
      <w:r w:rsidR="00DA2200">
        <w:rPr>
          <w:rFonts w:ascii="Times New Roman" w:hAnsi="Times New Roman" w:cs="Times New Roman"/>
          <w:sz w:val="24"/>
          <w:szCs w:val="24"/>
        </w:rPr>
        <w:t xml:space="preserve">mainland </w:t>
      </w:r>
      <w:r w:rsidR="00CC68FA">
        <w:rPr>
          <w:rFonts w:ascii="Times New Roman" w:hAnsi="Times New Roman" w:cs="Times New Roman"/>
          <w:sz w:val="24"/>
          <w:szCs w:val="24"/>
        </w:rPr>
        <w:t xml:space="preserve">clearly register, apparently none of the other 2,600 terrorist attacks </w:t>
      </w:r>
      <w:r w:rsidR="00667404">
        <w:rPr>
          <w:rFonts w:ascii="Times New Roman" w:hAnsi="Times New Roman" w:cs="Times New Roman"/>
          <w:sz w:val="24"/>
          <w:szCs w:val="24"/>
        </w:rPr>
        <w:t xml:space="preserve">on U.S. </w:t>
      </w:r>
      <w:r w:rsidR="00667404">
        <w:rPr>
          <w:rFonts w:ascii="Times New Roman" w:hAnsi="Times New Roman" w:cs="Times New Roman"/>
          <w:sz w:val="24"/>
          <w:szCs w:val="24"/>
        </w:rPr>
        <w:lastRenderedPageBreak/>
        <w:t xml:space="preserve">targets—reported </w:t>
      </w:r>
      <w:r w:rsidR="00CC68FA">
        <w:rPr>
          <w:rFonts w:ascii="Times New Roman" w:hAnsi="Times New Roman" w:cs="Times New Roman"/>
          <w:sz w:val="24"/>
          <w:szCs w:val="24"/>
        </w:rPr>
        <w:t>by START’s</w:t>
      </w:r>
      <w:r w:rsidR="009A087B">
        <w:rPr>
          <w:rStyle w:val="FootnoteReference"/>
          <w:rFonts w:ascii="Times New Roman" w:hAnsi="Times New Roman" w:cs="Times New Roman"/>
          <w:sz w:val="24"/>
          <w:szCs w:val="24"/>
        </w:rPr>
        <w:footnoteReference w:id="37"/>
      </w:r>
      <w:r w:rsidR="009A087B">
        <w:rPr>
          <w:rFonts w:ascii="Times New Roman" w:hAnsi="Times New Roman" w:cs="Times New Roman"/>
          <w:sz w:val="24"/>
          <w:szCs w:val="24"/>
        </w:rPr>
        <w:t xml:space="preserve"> </w:t>
      </w:r>
      <w:r w:rsidR="00CC68FA">
        <w:rPr>
          <w:rFonts w:ascii="Times New Roman" w:hAnsi="Times New Roman" w:cs="Times New Roman"/>
          <w:sz w:val="24"/>
          <w:szCs w:val="24"/>
        </w:rPr>
        <w:t>Global Terrorism Database</w:t>
      </w:r>
      <w:r w:rsidR="00667404">
        <w:rPr>
          <w:rFonts w:ascii="Times New Roman" w:hAnsi="Times New Roman" w:cs="Times New Roman"/>
          <w:sz w:val="24"/>
          <w:szCs w:val="24"/>
        </w:rPr>
        <w:t>—appear</w:t>
      </w:r>
      <w:r w:rsidR="00CC68FA">
        <w:rPr>
          <w:rFonts w:ascii="Times New Roman" w:hAnsi="Times New Roman" w:cs="Times New Roman"/>
          <w:sz w:val="24"/>
          <w:szCs w:val="24"/>
        </w:rPr>
        <w:t xml:space="preserve"> to create the punctuated equilibrium </w:t>
      </w:r>
      <w:r w:rsidR="007449A6">
        <w:rPr>
          <w:rFonts w:ascii="Times New Roman" w:hAnsi="Times New Roman" w:cs="Times New Roman"/>
          <w:sz w:val="24"/>
          <w:szCs w:val="24"/>
        </w:rPr>
        <w:t xml:space="preserve">in political extraction that would be </w:t>
      </w:r>
      <w:r w:rsidR="00CC68FA">
        <w:rPr>
          <w:rFonts w:ascii="Times New Roman" w:hAnsi="Times New Roman" w:cs="Times New Roman"/>
          <w:sz w:val="24"/>
          <w:szCs w:val="24"/>
        </w:rPr>
        <w:t>associate</w:t>
      </w:r>
      <w:r w:rsidR="007449A6">
        <w:rPr>
          <w:rFonts w:ascii="Times New Roman" w:hAnsi="Times New Roman" w:cs="Times New Roman"/>
          <w:sz w:val="24"/>
          <w:szCs w:val="24"/>
        </w:rPr>
        <w:t>d</w:t>
      </w:r>
      <w:r w:rsidR="00CC68FA">
        <w:rPr>
          <w:rFonts w:ascii="Times New Roman" w:hAnsi="Times New Roman" w:cs="Times New Roman"/>
          <w:sz w:val="24"/>
          <w:szCs w:val="24"/>
        </w:rPr>
        <w:t xml:space="preserve"> with actual political shocks.</w:t>
      </w:r>
      <w:r w:rsidR="00D5699C">
        <w:rPr>
          <w:rStyle w:val="FootnoteReference"/>
          <w:rFonts w:ascii="Times New Roman" w:hAnsi="Times New Roman" w:cs="Times New Roman"/>
          <w:sz w:val="24"/>
          <w:szCs w:val="24"/>
        </w:rPr>
        <w:footnoteReference w:id="38"/>
      </w:r>
      <w:r w:rsidR="00CC68FA">
        <w:rPr>
          <w:rFonts w:ascii="Times New Roman" w:hAnsi="Times New Roman" w:cs="Times New Roman"/>
          <w:sz w:val="24"/>
          <w:szCs w:val="24"/>
        </w:rPr>
        <w:t xml:space="preserve"> </w:t>
      </w:r>
    </w:p>
    <w:p w14:paraId="3699EFFB" w14:textId="1C6D6B8B" w:rsidR="00A07B64" w:rsidRDefault="00A07B64" w:rsidP="00AD24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some potential political shock events do not translate into actual shocks is not surprising. Repeated encounters with certain events eliminate the uniqueness of the event. Additionally, as a classic example of “fighting the last war”, policymakers who have once encountered a political shock will seek to prepare for a repeat of the event. Thus, as we have argued earlier, scholars should use much caution in identifying classes of events as political shocks unless they can demonstrate that specific events precipitate disruption to a state’s stability. </w:t>
      </w:r>
    </w:p>
    <w:p w14:paraId="1F707931" w14:textId="77777777" w:rsidR="00AD24E7" w:rsidRDefault="00A02AE3" w:rsidP="00A02A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clear as well that political shocks that are regional or global in nature (compared to shocks unique to a single state actor) are likely to have differential impacts on states, depending on state circumstances. For example, in the North American region, the 1971 oil crisis constituted a political shock for the US but not for Canada or Mexico, two major oil producers. Likewise, </w:t>
      </w:r>
      <w:r w:rsidR="00DF1D92">
        <w:rPr>
          <w:rFonts w:ascii="Times New Roman" w:hAnsi="Times New Roman" w:cs="Times New Roman"/>
          <w:sz w:val="24"/>
          <w:szCs w:val="24"/>
        </w:rPr>
        <w:t xml:space="preserve">as noted on the relative political extraction measure, </w:t>
      </w:r>
      <w:r>
        <w:rPr>
          <w:rFonts w:ascii="Times New Roman" w:hAnsi="Times New Roman" w:cs="Times New Roman"/>
          <w:sz w:val="24"/>
          <w:szCs w:val="24"/>
        </w:rPr>
        <w:t>the 2008 economic crisis was a political shock for both the U.S. and Canada but not for Mexico</w:t>
      </w:r>
      <w:r w:rsidR="00262B65">
        <w:rPr>
          <w:rFonts w:ascii="Times New Roman" w:hAnsi="Times New Roman" w:cs="Times New Roman"/>
          <w:sz w:val="24"/>
          <w:szCs w:val="24"/>
        </w:rPr>
        <w:t>.</w:t>
      </w:r>
      <w:r>
        <w:rPr>
          <w:rFonts w:ascii="Times New Roman" w:hAnsi="Times New Roman" w:cs="Times New Roman"/>
          <w:sz w:val="24"/>
          <w:szCs w:val="24"/>
        </w:rPr>
        <w:t xml:space="preserve"> </w:t>
      </w:r>
    </w:p>
    <w:p w14:paraId="4A3E1E0F" w14:textId="6E40D573" w:rsidR="00AD24E7" w:rsidRDefault="00AD24E7" w:rsidP="00AD24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second illustration, we offer the case of Sierra Leone’s major changes in RPE, as noted in Figure 4. Sierra Leone demonstrates five cases between 1961 and 2017 when its RPE dramatically changes by at least one standard deviation from its mean rate of change. Each of these cases are accompanied by major events that are considered to be political shocks in the </w:t>
      </w:r>
      <w:r>
        <w:rPr>
          <w:rFonts w:ascii="Times New Roman" w:hAnsi="Times New Roman" w:cs="Times New Roman"/>
          <w:sz w:val="24"/>
          <w:szCs w:val="24"/>
        </w:rPr>
        <w:lastRenderedPageBreak/>
        <w:t>extant literature.</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As with the U.S. case, we find complete correspondence between these dramatic changes to processes of political extraction and what the literature typically notes to be cases of political shocks. Thus</w:t>
      </w:r>
      <w:r w:rsidR="00D170B8">
        <w:rPr>
          <w:rFonts w:ascii="Times New Roman" w:hAnsi="Times New Roman" w:cs="Times New Roman"/>
          <w:sz w:val="24"/>
          <w:szCs w:val="24"/>
        </w:rPr>
        <w:t>,</w:t>
      </w:r>
      <w:r>
        <w:rPr>
          <w:rFonts w:ascii="Times New Roman" w:hAnsi="Times New Roman" w:cs="Times New Roman"/>
          <w:sz w:val="24"/>
          <w:szCs w:val="24"/>
        </w:rPr>
        <w:t xml:space="preserve"> we have confidence that our two dimensions of punctuated equilibrium reflect political shocks for states experiencing them.</w:t>
      </w:r>
    </w:p>
    <w:p w14:paraId="6C82C2FC" w14:textId="0EC7DEA4" w:rsidR="00DF1D92" w:rsidRDefault="00366EFC" w:rsidP="00DF1D92">
      <w:pPr>
        <w:spacing w:line="480" w:lineRule="auto"/>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22752" behindDoc="0" locked="0" layoutInCell="1" allowOverlap="1" wp14:anchorId="24B4F705" wp14:editId="4DBA5D34">
                <wp:simplePos x="0" y="0"/>
                <wp:positionH relativeFrom="column">
                  <wp:posOffset>5080883</wp:posOffset>
                </wp:positionH>
                <wp:positionV relativeFrom="paragraph">
                  <wp:posOffset>1947186</wp:posOffset>
                </wp:positionV>
                <wp:extent cx="1335820" cy="1001864"/>
                <wp:effectExtent l="38100" t="38100" r="17145" b="27305"/>
                <wp:wrapNone/>
                <wp:docPr id="24" name="Straight Arrow Connector 24"/>
                <wp:cNvGraphicFramePr/>
                <a:graphic xmlns:a="http://schemas.openxmlformats.org/drawingml/2006/main">
                  <a:graphicData uri="http://schemas.microsoft.com/office/word/2010/wordprocessingShape">
                    <wps:wsp>
                      <wps:cNvCnPr/>
                      <wps:spPr>
                        <a:xfrm flipH="1" flipV="1">
                          <a:off x="0" y="0"/>
                          <a:ext cx="1335820" cy="10018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231F80" id="Straight Arrow Connector 24" o:spid="_x0000_s1026" type="#_x0000_t32" style="position:absolute;margin-left:400.05pt;margin-top:153.3pt;width:105.2pt;height:78.9pt;flip:x 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" strokecolor="#4472c4 [3204]" strokeweight=".5pt">
                <v:stroke endarrow="block" joinstyle="miter"/>
              </v:shape>
            </w:pict>
          </mc:Fallback>
        </mc:AlternateContent>
      </w:r>
      <w:r w:rsidRPr="00366EFC">
        <w:rPr>
          <w:rFonts w:ascii="Times New Roman" w:hAnsi="Times New Roman" w:cs="Times New Roman"/>
          <w:b/>
          <w:bCs/>
          <w:noProof/>
          <w:sz w:val="24"/>
          <w:szCs w:val="24"/>
        </w:rPr>
        <mc:AlternateContent>
          <mc:Choice Requires="wps">
            <w:drawing>
              <wp:anchor distT="45720" distB="45720" distL="114300" distR="114300" simplePos="0" relativeHeight="251721728" behindDoc="0" locked="0" layoutInCell="1" allowOverlap="1" wp14:anchorId="663BD488" wp14:editId="0D2E8E30">
                <wp:simplePos x="0" y="0"/>
                <wp:positionH relativeFrom="rightMargin">
                  <wp:posOffset>-139700</wp:posOffset>
                </wp:positionH>
                <wp:positionV relativeFrom="paragraph">
                  <wp:posOffset>2972435</wp:posOffset>
                </wp:positionV>
                <wp:extent cx="981075" cy="2781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78130"/>
                        </a:xfrm>
                        <a:prstGeom prst="rect">
                          <a:avLst/>
                        </a:prstGeom>
                        <a:solidFill>
                          <a:srgbClr val="FFFFFF"/>
                        </a:solidFill>
                        <a:ln w="9525">
                          <a:solidFill>
                            <a:srgbClr val="000000"/>
                          </a:solidFill>
                          <a:miter lim="800000"/>
                          <a:headEnd/>
                          <a:tailEnd/>
                        </a:ln>
                      </wps:spPr>
                      <wps:txbx>
                        <w:txbxContent>
                          <w:p w14:paraId="71A8A22A" w14:textId="26B71266" w:rsidR="00366EFC" w:rsidRDefault="00366EFC">
                            <w:r>
                              <w:t>SD threshold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BD488" id="_x0000_s1027" type="#_x0000_t202" style="position:absolute;margin-left:-11pt;margin-top:234.05pt;width:77.25pt;height:21.9pt;z-index:2517217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">
                <v:textbox>
                  <w:txbxContent>
                    <w:p w14:paraId="71A8A22A" w14:textId="26B71266" w:rsidR="00366EFC" w:rsidRDefault="00366EFC">
                      <w:r>
                        <w:t>SD threshold</w:t>
                      </w:r>
                    </w:p>
                  </w:txbxContent>
                </v:textbox>
                <w10:wrap type="square" anchorx="margin"/>
              </v:shape>
            </w:pict>
          </mc:Fallback>
        </mc:AlternateContent>
      </w:r>
      <w:r w:rsidR="00DF1D92">
        <w:rPr>
          <w:noProof/>
        </w:rPr>
        <w:drawing>
          <wp:inline distT="0" distB="0" distL="0" distR="0" wp14:anchorId="7E0EAE23" wp14:editId="7D39E9EC">
            <wp:extent cx="5943600" cy="2814320"/>
            <wp:effectExtent l="0" t="0" r="0" b="5080"/>
            <wp:docPr id="1" name="Chart 1">
              <a:extLst xmlns:a="http://schemas.openxmlformats.org/drawingml/2006/main">
                <a:ext uri="{FF2B5EF4-FFF2-40B4-BE49-F238E27FC236}">
                  <a16:creationId xmlns:a16="http://schemas.microsoft.com/office/drawing/2014/main" id="{3D4E2633-D2F6-480B-B094-0B5E045923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D6EE98" w14:textId="2CC4A856" w:rsidR="00A02AE3" w:rsidRDefault="00C50865" w:rsidP="007D643C">
      <w:pPr>
        <w:spacing w:line="480" w:lineRule="auto"/>
        <w:rPr>
          <w:rFonts w:ascii="Times New Roman" w:hAnsi="Times New Roman" w:cs="Times New Roman"/>
          <w:b/>
          <w:bCs/>
          <w:sz w:val="24"/>
          <w:szCs w:val="24"/>
        </w:rPr>
      </w:pPr>
      <w:r w:rsidRPr="00C50865">
        <w:rPr>
          <w:rFonts w:ascii="Times New Roman" w:hAnsi="Times New Roman" w:cs="Times New Roman"/>
          <w:b/>
          <w:bCs/>
          <w:sz w:val="24"/>
          <w:szCs w:val="24"/>
        </w:rPr>
        <w:t>Illustrating the use of political shocks: respect for human rights</w:t>
      </w:r>
    </w:p>
    <w:p w14:paraId="43ED3EE4" w14:textId="7403DEFC" w:rsidR="00C50865" w:rsidRDefault="00AD24E7" w:rsidP="007D643C">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C50865">
        <w:rPr>
          <w:rFonts w:ascii="Times New Roman" w:hAnsi="Times New Roman" w:cs="Times New Roman"/>
          <w:sz w:val="24"/>
          <w:szCs w:val="24"/>
        </w:rPr>
        <w:t>There are numerous ways to use the</w:t>
      </w:r>
      <w:r w:rsidR="004D0FCF">
        <w:rPr>
          <w:rFonts w:ascii="Times New Roman" w:hAnsi="Times New Roman" w:cs="Times New Roman"/>
          <w:sz w:val="24"/>
          <w:szCs w:val="24"/>
        </w:rPr>
        <w:t xml:space="preserve">se two measures of </w:t>
      </w:r>
      <w:r w:rsidR="00C50865">
        <w:rPr>
          <w:rFonts w:ascii="Times New Roman" w:hAnsi="Times New Roman" w:cs="Times New Roman"/>
          <w:sz w:val="24"/>
          <w:szCs w:val="24"/>
        </w:rPr>
        <w:t xml:space="preserve">political shocks to probe a variety of phenomena of interest to scholars. Here, we present one example, probing the effects of political shocks on variation in respect for human rights across states in international politics. </w:t>
      </w:r>
      <w:r w:rsidR="008D68CC">
        <w:rPr>
          <w:rFonts w:ascii="Times New Roman" w:hAnsi="Times New Roman" w:cs="Times New Roman"/>
          <w:sz w:val="24"/>
          <w:szCs w:val="24"/>
        </w:rPr>
        <w:t xml:space="preserve">The issue of human rights has been a major concern for scholars in the field: it has been a contentious issue between states; abuse of human rights is a source of migration that often </w:t>
      </w:r>
      <w:r w:rsidR="008D68CC">
        <w:rPr>
          <w:rFonts w:ascii="Times New Roman" w:hAnsi="Times New Roman" w:cs="Times New Roman"/>
          <w:sz w:val="24"/>
          <w:szCs w:val="24"/>
        </w:rPr>
        <w:lastRenderedPageBreak/>
        <w:t>becomes a catalyst for interstate conflict within neighborhoods and regions; and considerations around human rights has been a source of substantial dispute regarding global and regional norms.</w:t>
      </w:r>
    </w:p>
    <w:p w14:paraId="06649DB6" w14:textId="76577B61" w:rsidR="008D68CC" w:rsidRDefault="008D68CC" w:rsidP="003444A5">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 are political shocks related to human rights issues? We suggest that actual political shocks create for policy</w:t>
      </w:r>
      <w:r w:rsidR="00287601">
        <w:rPr>
          <w:rFonts w:ascii="Times New Roman" w:hAnsi="Times New Roman" w:cs="Times New Roman"/>
          <w:sz w:val="24"/>
          <w:szCs w:val="24"/>
        </w:rPr>
        <w:t>-</w:t>
      </w:r>
      <w:r>
        <w:rPr>
          <w:rFonts w:ascii="Times New Roman" w:hAnsi="Times New Roman" w:cs="Times New Roman"/>
          <w:sz w:val="24"/>
          <w:szCs w:val="24"/>
        </w:rPr>
        <w:t>makers substantial new uncertainties regarding both their external</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and their domestic security environments. </w:t>
      </w:r>
      <w:r w:rsidR="003444A5">
        <w:rPr>
          <w:rFonts w:ascii="Times New Roman" w:hAnsi="Times New Roman" w:cs="Times New Roman"/>
          <w:sz w:val="24"/>
          <w:szCs w:val="24"/>
        </w:rPr>
        <w:t xml:space="preserve">Uncertainty regarding the domestic environment </w:t>
      </w:r>
      <w:r w:rsidR="00366EFC">
        <w:rPr>
          <w:rFonts w:ascii="Times New Roman" w:hAnsi="Times New Roman" w:cs="Times New Roman"/>
          <w:sz w:val="24"/>
          <w:szCs w:val="24"/>
        </w:rPr>
        <w:t xml:space="preserve">often </w:t>
      </w:r>
      <w:r w:rsidR="003444A5">
        <w:rPr>
          <w:rFonts w:ascii="Times New Roman" w:hAnsi="Times New Roman" w:cs="Times New Roman"/>
          <w:sz w:val="24"/>
          <w:szCs w:val="24"/>
        </w:rPr>
        <w:t xml:space="preserve">translates for </w:t>
      </w:r>
      <w:r w:rsidR="00C67713">
        <w:rPr>
          <w:rFonts w:ascii="Times New Roman" w:hAnsi="Times New Roman" w:cs="Times New Roman"/>
          <w:sz w:val="24"/>
          <w:szCs w:val="24"/>
        </w:rPr>
        <w:t>policymakers</w:t>
      </w:r>
      <w:r w:rsidR="003444A5">
        <w:rPr>
          <w:rFonts w:ascii="Times New Roman" w:hAnsi="Times New Roman" w:cs="Times New Roman"/>
          <w:sz w:val="24"/>
          <w:szCs w:val="24"/>
        </w:rPr>
        <w:t xml:space="preserve"> to concerns regarding leadership survival both in democratic and non- democratic states.</w:t>
      </w:r>
      <w:r w:rsidR="003444A5" w:rsidRPr="003444A5">
        <w:rPr>
          <w:rStyle w:val="FootnoteReference"/>
          <w:rFonts w:ascii="Times New Roman" w:hAnsi="Times New Roman" w:cs="Times New Roman"/>
          <w:sz w:val="24"/>
          <w:szCs w:val="24"/>
        </w:rPr>
        <w:t xml:space="preserve"> </w:t>
      </w:r>
      <w:r w:rsidR="003444A5">
        <w:rPr>
          <w:rStyle w:val="FootnoteReference"/>
          <w:rFonts w:ascii="Times New Roman" w:hAnsi="Times New Roman" w:cs="Times New Roman"/>
          <w:sz w:val="24"/>
          <w:szCs w:val="24"/>
        </w:rPr>
        <w:footnoteReference w:id="41"/>
      </w:r>
      <w:r w:rsidR="003444A5">
        <w:rPr>
          <w:rFonts w:ascii="Times New Roman" w:hAnsi="Times New Roman" w:cs="Times New Roman"/>
          <w:sz w:val="24"/>
          <w:szCs w:val="24"/>
        </w:rPr>
        <w:t xml:space="preserve"> </w:t>
      </w:r>
      <w:r>
        <w:rPr>
          <w:rFonts w:ascii="Times New Roman" w:hAnsi="Times New Roman" w:cs="Times New Roman"/>
          <w:sz w:val="24"/>
          <w:szCs w:val="24"/>
        </w:rPr>
        <w:t>In democratic polities leaders may be punished for failing to anticipate dramatic disruptions, and</w:t>
      </w:r>
      <w:r w:rsidR="00287601">
        <w:rPr>
          <w:rFonts w:ascii="Times New Roman" w:hAnsi="Times New Roman" w:cs="Times New Roman"/>
          <w:sz w:val="24"/>
          <w:szCs w:val="24"/>
        </w:rPr>
        <w:t>/or</w:t>
      </w:r>
      <w:r>
        <w:rPr>
          <w:rFonts w:ascii="Times New Roman" w:hAnsi="Times New Roman" w:cs="Times New Roman"/>
          <w:sz w:val="24"/>
          <w:szCs w:val="24"/>
        </w:rPr>
        <w:t xml:space="preserve"> if the government’s ability to provide public goods is hampered as a result. </w:t>
      </w:r>
      <w:r w:rsidR="003444A5">
        <w:rPr>
          <w:rFonts w:ascii="Times New Roman" w:hAnsi="Times New Roman" w:cs="Times New Roman"/>
          <w:sz w:val="24"/>
          <w:szCs w:val="24"/>
        </w:rPr>
        <w:t xml:space="preserve">In </w:t>
      </w:r>
      <w:r w:rsidR="00287601">
        <w:rPr>
          <w:rFonts w:ascii="Times New Roman" w:hAnsi="Times New Roman" w:cs="Times New Roman"/>
          <w:sz w:val="24"/>
          <w:szCs w:val="24"/>
        </w:rPr>
        <w:t xml:space="preserve">authoritarian </w:t>
      </w:r>
      <w:r>
        <w:rPr>
          <w:rFonts w:ascii="Times New Roman" w:hAnsi="Times New Roman" w:cs="Times New Roman"/>
          <w:sz w:val="24"/>
          <w:szCs w:val="24"/>
        </w:rPr>
        <w:t xml:space="preserve">regimes </w:t>
      </w:r>
      <w:r w:rsidR="00287601">
        <w:rPr>
          <w:rFonts w:ascii="Times New Roman" w:hAnsi="Times New Roman" w:cs="Times New Roman"/>
          <w:sz w:val="24"/>
          <w:szCs w:val="24"/>
        </w:rPr>
        <w:t xml:space="preserve">economic shocks likely decrease even further the provision of public goods and as well </w:t>
      </w:r>
      <w:r>
        <w:rPr>
          <w:rFonts w:ascii="Times New Roman" w:hAnsi="Times New Roman" w:cs="Times New Roman"/>
          <w:sz w:val="24"/>
          <w:szCs w:val="24"/>
        </w:rPr>
        <w:t>decreas</w:t>
      </w:r>
      <w:r w:rsidR="00287601">
        <w:rPr>
          <w:rFonts w:ascii="Times New Roman" w:hAnsi="Times New Roman" w:cs="Times New Roman"/>
          <w:sz w:val="24"/>
          <w:szCs w:val="24"/>
        </w:rPr>
        <w:t xml:space="preserve">e the </w:t>
      </w:r>
      <w:r>
        <w:rPr>
          <w:rFonts w:ascii="Times New Roman" w:hAnsi="Times New Roman" w:cs="Times New Roman"/>
          <w:sz w:val="24"/>
          <w:szCs w:val="24"/>
        </w:rPr>
        <w:t xml:space="preserve">ability to provide </w:t>
      </w:r>
      <w:r w:rsidR="00287601">
        <w:rPr>
          <w:rFonts w:ascii="Times New Roman" w:hAnsi="Times New Roman" w:cs="Times New Roman"/>
          <w:sz w:val="24"/>
          <w:szCs w:val="24"/>
        </w:rPr>
        <w:t xml:space="preserve">sufficient </w:t>
      </w:r>
      <w:r>
        <w:rPr>
          <w:rFonts w:ascii="Times New Roman" w:hAnsi="Times New Roman" w:cs="Times New Roman"/>
          <w:sz w:val="24"/>
          <w:szCs w:val="24"/>
        </w:rPr>
        <w:t>private goods to smaller selectorates, jeopardizing the coalitions that keep the leader in office.</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p>
    <w:p w14:paraId="59680BF8" w14:textId="4AFE3C2B" w:rsidR="00C50865" w:rsidRDefault="00360842" w:rsidP="00C508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Under such circumstances we </w:t>
      </w:r>
      <w:r w:rsidR="00AB6ADF">
        <w:rPr>
          <w:rFonts w:ascii="Times New Roman" w:hAnsi="Times New Roman" w:cs="Times New Roman"/>
          <w:sz w:val="24"/>
          <w:szCs w:val="24"/>
        </w:rPr>
        <w:t xml:space="preserve">anticipate two possible outcomes. One possibility is that </w:t>
      </w:r>
      <w:r>
        <w:rPr>
          <w:rFonts w:ascii="Times New Roman" w:hAnsi="Times New Roman" w:cs="Times New Roman"/>
          <w:sz w:val="24"/>
          <w:szCs w:val="24"/>
        </w:rPr>
        <w:t>political shocks</w:t>
      </w:r>
      <w:r w:rsidR="00AB6ADF">
        <w:rPr>
          <w:rFonts w:ascii="Times New Roman" w:hAnsi="Times New Roman" w:cs="Times New Roman"/>
          <w:sz w:val="24"/>
          <w:szCs w:val="24"/>
        </w:rPr>
        <w:t>, and especially in non-democracies,</w:t>
      </w:r>
      <w:r>
        <w:rPr>
          <w:rFonts w:ascii="Times New Roman" w:hAnsi="Times New Roman" w:cs="Times New Roman"/>
          <w:sz w:val="24"/>
          <w:szCs w:val="24"/>
        </w:rPr>
        <w:t xml:space="preserve"> could </w:t>
      </w:r>
      <w:r w:rsidR="00287601">
        <w:rPr>
          <w:rFonts w:ascii="Times New Roman" w:hAnsi="Times New Roman" w:cs="Times New Roman"/>
          <w:sz w:val="24"/>
          <w:szCs w:val="24"/>
        </w:rPr>
        <w:t xml:space="preserve">yield high levels of </w:t>
      </w:r>
      <w:r>
        <w:rPr>
          <w:rFonts w:ascii="Times New Roman" w:hAnsi="Times New Roman" w:cs="Times New Roman"/>
          <w:sz w:val="24"/>
          <w:szCs w:val="24"/>
        </w:rPr>
        <w:t xml:space="preserve">governmental repression of human rights as political leaders seek to dampen </w:t>
      </w:r>
      <w:r w:rsidR="00287601">
        <w:rPr>
          <w:rFonts w:ascii="Times New Roman" w:hAnsi="Times New Roman" w:cs="Times New Roman"/>
          <w:sz w:val="24"/>
          <w:szCs w:val="24"/>
        </w:rPr>
        <w:t xml:space="preserve">or preempt </w:t>
      </w:r>
      <w:r>
        <w:rPr>
          <w:rFonts w:ascii="Times New Roman" w:hAnsi="Times New Roman" w:cs="Times New Roman"/>
          <w:sz w:val="24"/>
          <w:szCs w:val="24"/>
        </w:rPr>
        <w:t>protests over failure to deliver public and private goods during periods of turmoil.</w:t>
      </w:r>
      <w:r w:rsidR="00AB6ADF">
        <w:rPr>
          <w:rFonts w:ascii="Times New Roman" w:hAnsi="Times New Roman" w:cs="Times New Roman"/>
          <w:sz w:val="24"/>
          <w:szCs w:val="24"/>
        </w:rPr>
        <w:t xml:space="preserve"> The second possibility is that</w:t>
      </w:r>
      <w:r w:rsidR="00077901">
        <w:rPr>
          <w:rFonts w:ascii="Times New Roman" w:hAnsi="Times New Roman" w:cs="Times New Roman"/>
          <w:sz w:val="24"/>
          <w:szCs w:val="24"/>
        </w:rPr>
        <w:t>,</w:t>
      </w:r>
      <w:r w:rsidR="00AB6ADF">
        <w:rPr>
          <w:rFonts w:ascii="Times New Roman" w:hAnsi="Times New Roman" w:cs="Times New Roman"/>
          <w:sz w:val="24"/>
          <w:szCs w:val="24"/>
        </w:rPr>
        <w:t xml:space="preserve"> as political shocks create</w:t>
      </w:r>
      <w:r w:rsidR="00BF4A89">
        <w:rPr>
          <w:rFonts w:ascii="Times New Roman" w:hAnsi="Times New Roman" w:cs="Times New Roman"/>
          <w:sz w:val="24"/>
          <w:szCs w:val="24"/>
        </w:rPr>
        <w:t xml:space="preserve"> a</w:t>
      </w:r>
      <w:r w:rsidR="00AB6ADF">
        <w:rPr>
          <w:rFonts w:ascii="Times New Roman" w:hAnsi="Times New Roman" w:cs="Times New Roman"/>
          <w:sz w:val="24"/>
          <w:szCs w:val="24"/>
        </w:rPr>
        <w:t xml:space="preserve"> </w:t>
      </w:r>
      <w:r w:rsidR="00287601">
        <w:rPr>
          <w:rFonts w:ascii="Times New Roman" w:hAnsi="Times New Roman" w:cs="Times New Roman"/>
          <w:sz w:val="24"/>
          <w:szCs w:val="24"/>
        </w:rPr>
        <w:t>“policy window” through which</w:t>
      </w:r>
      <w:r w:rsidR="00AB6ADF">
        <w:rPr>
          <w:rFonts w:ascii="Times New Roman" w:hAnsi="Times New Roman" w:cs="Times New Roman"/>
          <w:sz w:val="24"/>
          <w:szCs w:val="24"/>
        </w:rPr>
        <w:t xml:space="preserve"> policymakers reconsider extant </w:t>
      </w:r>
      <w:r w:rsidR="00AB6ADF">
        <w:rPr>
          <w:rFonts w:ascii="Times New Roman" w:hAnsi="Times New Roman" w:cs="Times New Roman"/>
          <w:sz w:val="24"/>
          <w:szCs w:val="24"/>
        </w:rPr>
        <w:lastRenderedPageBreak/>
        <w:t>policies,</w:t>
      </w:r>
      <w:r w:rsidR="00366EFC">
        <w:rPr>
          <w:rFonts w:ascii="Times New Roman" w:hAnsi="Times New Roman" w:cs="Times New Roman"/>
          <w:sz w:val="24"/>
          <w:szCs w:val="24"/>
        </w:rPr>
        <w:t xml:space="preserve"> </w:t>
      </w:r>
      <w:r w:rsidR="00AB6ADF">
        <w:rPr>
          <w:rFonts w:ascii="Times New Roman" w:hAnsi="Times New Roman" w:cs="Times New Roman"/>
          <w:sz w:val="24"/>
          <w:szCs w:val="24"/>
        </w:rPr>
        <w:t>government</w:t>
      </w:r>
      <w:r w:rsidR="00366EFC">
        <w:rPr>
          <w:rFonts w:ascii="Times New Roman" w:hAnsi="Times New Roman" w:cs="Times New Roman"/>
          <w:sz w:val="24"/>
          <w:szCs w:val="24"/>
        </w:rPr>
        <w:t>s</w:t>
      </w:r>
      <w:r w:rsidR="00AB6ADF">
        <w:rPr>
          <w:rFonts w:ascii="Times New Roman" w:hAnsi="Times New Roman" w:cs="Times New Roman"/>
          <w:sz w:val="24"/>
          <w:szCs w:val="24"/>
        </w:rPr>
        <w:t xml:space="preserve"> </w:t>
      </w:r>
      <w:r w:rsidR="00366EFC">
        <w:rPr>
          <w:rFonts w:ascii="Times New Roman" w:hAnsi="Times New Roman" w:cs="Times New Roman"/>
          <w:sz w:val="24"/>
          <w:szCs w:val="24"/>
        </w:rPr>
        <w:t xml:space="preserve">may </w:t>
      </w:r>
      <w:r w:rsidR="00287601">
        <w:rPr>
          <w:rFonts w:ascii="Times New Roman" w:hAnsi="Times New Roman" w:cs="Times New Roman"/>
          <w:sz w:val="24"/>
          <w:szCs w:val="24"/>
        </w:rPr>
        <w:t>a</w:t>
      </w:r>
      <w:r w:rsidR="00AB6ADF">
        <w:rPr>
          <w:rFonts w:ascii="Times New Roman" w:hAnsi="Times New Roman" w:cs="Times New Roman"/>
          <w:sz w:val="24"/>
          <w:szCs w:val="24"/>
        </w:rPr>
        <w:t>llow political reform, greater political participation, and ultimately less repression. While the second option is plausible, we would bet on the first possibility</w:t>
      </w:r>
      <w:r w:rsidR="00077901">
        <w:rPr>
          <w:rFonts w:ascii="Times New Roman" w:hAnsi="Times New Roman" w:cs="Times New Roman"/>
          <w:sz w:val="24"/>
          <w:szCs w:val="24"/>
        </w:rPr>
        <w:t xml:space="preserve"> since</w:t>
      </w:r>
      <w:r w:rsidR="00AB6ADF">
        <w:rPr>
          <w:rFonts w:ascii="Times New Roman" w:hAnsi="Times New Roman" w:cs="Times New Roman"/>
          <w:sz w:val="24"/>
          <w:szCs w:val="24"/>
        </w:rPr>
        <w:t xml:space="preserve"> engaging in </w:t>
      </w:r>
      <w:r w:rsidR="00287601">
        <w:rPr>
          <w:rFonts w:ascii="Times New Roman" w:hAnsi="Times New Roman" w:cs="Times New Roman"/>
          <w:sz w:val="24"/>
          <w:szCs w:val="24"/>
        </w:rPr>
        <w:t xml:space="preserve">such </w:t>
      </w:r>
      <w:r w:rsidR="00AB6ADF">
        <w:rPr>
          <w:rFonts w:ascii="Times New Roman" w:hAnsi="Times New Roman" w:cs="Times New Roman"/>
          <w:sz w:val="24"/>
          <w:szCs w:val="24"/>
        </w:rPr>
        <w:t xml:space="preserve">reforms </w:t>
      </w:r>
      <w:r w:rsidR="00287601">
        <w:rPr>
          <w:rFonts w:ascii="Times New Roman" w:hAnsi="Times New Roman" w:cs="Times New Roman"/>
          <w:sz w:val="24"/>
          <w:szCs w:val="24"/>
        </w:rPr>
        <w:t xml:space="preserve">in non-democratic polities </w:t>
      </w:r>
      <w:r w:rsidR="00AB6ADF">
        <w:rPr>
          <w:rFonts w:ascii="Times New Roman" w:hAnsi="Times New Roman" w:cs="Times New Roman"/>
          <w:sz w:val="24"/>
          <w:szCs w:val="24"/>
        </w:rPr>
        <w:t>following a political shock creates substantially greater risks for leadership survival</w:t>
      </w:r>
      <w:r w:rsidR="00F83580">
        <w:rPr>
          <w:rFonts w:ascii="Times New Roman" w:hAnsi="Times New Roman" w:cs="Times New Roman"/>
          <w:sz w:val="24"/>
          <w:szCs w:val="24"/>
        </w:rPr>
        <w:t xml:space="preserve"> then </w:t>
      </w:r>
      <w:r w:rsidR="00366EFC">
        <w:rPr>
          <w:rFonts w:ascii="Times New Roman" w:hAnsi="Times New Roman" w:cs="Times New Roman"/>
          <w:sz w:val="24"/>
          <w:szCs w:val="24"/>
        </w:rPr>
        <w:t>more</w:t>
      </w:r>
      <w:r w:rsidR="00F83580">
        <w:rPr>
          <w:rFonts w:ascii="Times New Roman" w:hAnsi="Times New Roman" w:cs="Times New Roman"/>
          <w:sz w:val="24"/>
          <w:szCs w:val="24"/>
        </w:rPr>
        <w:t xml:space="preserve"> familiar methods of political </w:t>
      </w:r>
      <w:r w:rsidR="00366EFC">
        <w:rPr>
          <w:rFonts w:ascii="Times New Roman" w:hAnsi="Times New Roman" w:cs="Times New Roman"/>
          <w:sz w:val="24"/>
          <w:szCs w:val="24"/>
        </w:rPr>
        <w:t>control</w:t>
      </w:r>
      <w:r w:rsidR="00AB6ADF">
        <w:rPr>
          <w:rFonts w:ascii="Times New Roman" w:hAnsi="Times New Roman" w:cs="Times New Roman"/>
          <w:sz w:val="24"/>
          <w:szCs w:val="24"/>
        </w:rPr>
        <w:t xml:space="preserve">. </w:t>
      </w:r>
      <w:r w:rsidR="00287601">
        <w:rPr>
          <w:rFonts w:ascii="Times New Roman" w:hAnsi="Times New Roman" w:cs="Times New Roman"/>
          <w:sz w:val="24"/>
          <w:szCs w:val="24"/>
        </w:rPr>
        <w:t>T</w:t>
      </w:r>
      <w:r w:rsidR="00630429">
        <w:rPr>
          <w:rFonts w:ascii="Times New Roman" w:hAnsi="Times New Roman" w:cs="Times New Roman"/>
          <w:sz w:val="24"/>
          <w:szCs w:val="24"/>
        </w:rPr>
        <w:t>o test these competing possibilities</w:t>
      </w:r>
      <w:r w:rsidR="00287601">
        <w:rPr>
          <w:rFonts w:ascii="Times New Roman" w:hAnsi="Times New Roman" w:cs="Times New Roman"/>
          <w:sz w:val="24"/>
          <w:szCs w:val="24"/>
        </w:rPr>
        <w:t>,</w:t>
      </w:r>
      <w:r w:rsidR="00630429">
        <w:rPr>
          <w:rFonts w:ascii="Times New Roman" w:hAnsi="Times New Roman" w:cs="Times New Roman"/>
          <w:sz w:val="24"/>
          <w:szCs w:val="24"/>
        </w:rPr>
        <w:t xml:space="preserve"> </w:t>
      </w:r>
      <w:r w:rsidR="00C50865">
        <w:rPr>
          <w:rFonts w:ascii="Times New Roman" w:hAnsi="Times New Roman" w:cs="Times New Roman"/>
          <w:sz w:val="24"/>
          <w:szCs w:val="24"/>
        </w:rPr>
        <w:t xml:space="preserve">we delineate in Table 2 a base model typically used in the literature on human rights and compare it with one which adds the political shock dimension to the model. </w:t>
      </w:r>
    </w:p>
    <w:p w14:paraId="56E72201" w14:textId="1A7D3A0A" w:rsidR="00C50865" w:rsidRDefault="00C50865" w:rsidP="00C508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dependent variable in the model is the </w:t>
      </w:r>
      <w:r w:rsidRPr="00084822">
        <w:rPr>
          <w:rFonts w:ascii="Times New Roman" w:hAnsi="Times New Roman" w:cs="Times New Roman"/>
          <w:sz w:val="24"/>
          <w:szCs w:val="24"/>
        </w:rPr>
        <w:t>Physical Integrity Rights Index</w:t>
      </w:r>
      <w:r>
        <w:rPr>
          <w:rFonts w:ascii="Times New Roman" w:hAnsi="Times New Roman" w:cs="Times New Roman"/>
          <w:sz w:val="24"/>
          <w:szCs w:val="24"/>
        </w:rPr>
        <w:t>; the index</w:t>
      </w:r>
      <w:r w:rsidRPr="00084822">
        <w:rPr>
          <w:rFonts w:ascii="Times New Roman" w:hAnsi="Times New Roman" w:cs="Times New Roman"/>
          <w:sz w:val="24"/>
          <w:szCs w:val="24"/>
        </w:rPr>
        <w:t xml:space="preserve"> is ordinal and ranges from 0 (</w:t>
      </w:r>
      <w:r w:rsidRPr="00084822">
        <w:rPr>
          <w:rFonts w:ascii="Times New Roman" w:hAnsi="Times New Roman" w:cs="Times New Roman"/>
          <w:i/>
          <w:sz w:val="24"/>
          <w:szCs w:val="24"/>
        </w:rPr>
        <w:t>no government respect for rights</w:t>
      </w:r>
      <w:r w:rsidRPr="00084822">
        <w:rPr>
          <w:rFonts w:ascii="Times New Roman" w:hAnsi="Times New Roman" w:cs="Times New Roman"/>
          <w:sz w:val="24"/>
          <w:szCs w:val="24"/>
        </w:rPr>
        <w:t>) to 8 (</w:t>
      </w:r>
      <w:r w:rsidRPr="00084822">
        <w:rPr>
          <w:rFonts w:ascii="Times New Roman" w:hAnsi="Times New Roman" w:cs="Times New Roman"/>
          <w:i/>
          <w:sz w:val="24"/>
          <w:szCs w:val="24"/>
        </w:rPr>
        <w:t>full government respect for rights</w:t>
      </w:r>
      <w:r w:rsidRPr="00084822">
        <w:rPr>
          <w:rFonts w:ascii="Times New Roman" w:hAnsi="Times New Roman" w:cs="Times New Roman"/>
          <w:sz w:val="24"/>
          <w:szCs w:val="24"/>
        </w:rPr>
        <w:t>). It is an additive index, comprised of data regarding four different rights, including disappearances, extrajudicial killings, political imprisonment, and torture.</w:t>
      </w:r>
      <w:r w:rsidRPr="00084822">
        <w:rPr>
          <w:rStyle w:val="FootnoteReference"/>
          <w:rFonts w:ascii="Times New Roman" w:hAnsi="Times New Roman" w:cs="Times New Roman"/>
          <w:sz w:val="24"/>
          <w:szCs w:val="24"/>
        </w:rPr>
        <w:footnoteReference w:id="43"/>
      </w:r>
      <w:r w:rsidRPr="00084822">
        <w:rPr>
          <w:rFonts w:ascii="Times New Roman" w:hAnsi="Times New Roman" w:cs="Times New Roman"/>
          <w:sz w:val="24"/>
          <w:szCs w:val="24"/>
        </w:rPr>
        <w:t xml:space="preserve"> </w:t>
      </w:r>
      <w:r>
        <w:rPr>
          <w:rFonts w:ascii="Times New Roman" w:hAnsi="Times New Roman" w:cs="Times New Roman"/>
          <w:sz w:val="24"/>
          <w:szCs w:val="24"/>
        </w:rPr>
        <w:t>Th</w:t>
      </w:r>
      <w:r w:rsidR="00360842">
        <w:rPr>
          <w:rFonts w:ascii="Times New Roman" w:hAnsi="Times New Roman" w:cs="Times New Roman"/>
          <w:sz w:val="24"/>
          <w:szCs w:val="24"/>
        </w:rPr>
        <w:t>e</w:t>
      </w:r>
      <w:r>
        <w:rPr>
          <w:rFonts w:ascii="Times New Roman" w:hAnsi="Times New Roman" w:cs="Times New Roman"/>
          <w:sz w:val="24"/>
          <w:szCs w:val="24"/>
        </w:rPr>
        <w:t xml:space="preserve"> variable captures the extent of government </w:t>
      </w:r>
      <w:r w:rsidR="00A35FE6">
        <w:rPr>
          <w:rFonts w:ascii="Times New Roman" w:hAnsi="Times New Roman" w:cs="Times New Roman"/>
          <w:sz w:val="24"/>
          <w:szCs w:val="24"/>
        </w:rPr>
        <w:t>involvement with these activities</w:t>
      </w:r>
      <w:r w:rsidR="004B7C2A">
        <w:rPr>
          <w:rFonts w:ascii="Times New Roman" w:hAnsi="Times New Roman" w:cs="Times New Roman"/>
          <w:sz w:val="24"/>
          <w:szCs w:val="24"/>
        </w:rPr>
        <w:t xml:space="preserve"> and is available for most countries from 1981-2011</w:t>
      </w:r>
      <w:r>
        <w:rPr>
          <w:rFonts w:ascii="Times New Roman" w:hAnsi="Times New Roman" w:cs="Times New Roman"/>
          <w:sz w:val="24"/>
          <w:szCs w:val="24"/>
        </w:rPr>
        <w:t xml:space="preserve">. </w:t>
      </w:r>
    </w:p>
    <w:p w14:paraId="0CFC7F06" w14:textId="502A9A99" w:rsidR="00DF1D92" w:rsidRDefault="004B7C2A" w:rsidP="00DF1D9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base model contains a </w:t>
      </w:r>
      <w:r w:rsidR="00366EFC">
        <w:rPr>
          <w:rFonts w:ascii="Times New Roman" w:hAnsi="Times New Roman" w:cs="Times New Roman"/>
          <w:sz w:val="24"/>
          <w:szCs w:val="24"/>
        </w:rPr>
        <w:t xml:space="preserve">set of </w:t>
      </w:r>
      <w:r>
        <w:rPr>
          <w:rFonts w:ascii="Times New Roman" w:hAnsi="Times New Roman" w:cs="Times New Roman"/>
          <w:sz w:val="24"/>
          <w:szCs w:val="24"/>
        </w:rPr>
        <w:t xml:space="preserve">variables typically used in the literature to predict </w:t>
      </w:r>
      <w:r w:rsidR="00360842">
        <w:rPr>
          <w:rFonts w:ascii="Times New Roman" w:hAnsi="Times New Roman" w:cs="Times New Roman"/>
          <w:sz w:val="24"/>
          <w:szCs w:val="24"/>
        </w:rPr>
        <w:t>levels of human rights in countries (</w:t>
      </w:r>
      <w:r w:rsidR="00880649">
        <w:rPr>
          <w:rFonts w:ascii="Times New Roman" w:hAnsi="Times New Roman" w:cs="Times New Roman"/>
          <w:sz w:val="24"/>
          <w:szCs w:val="24"/>
        </w:rPr>
        <w:t>e.g.</w:t>
      </w:r>
      <w:r w:rsidR="003043B6">
        <w:rPr>
          <w:rFonts w:ascii="Times New Roman" w:hAnsi="Times New Roman" w:cs="Times New Roman"/>
          <w:sz w:val="24"/>
          <w:szCs w:val="24"/>
        </w:rPr>
        <w:t>,</w:t>
      </w:r>
      <w:r w:rsidR="00880649">
        <w:rPr>
          <w:rFonts w:ascii="Times New Roman" w:hAnsi="Times New Roman" w:cs="Times New Roman"/>
          <w:sz w:val="24"/>
          <w:szCs w:val="24"/>
        </w:rPr>
        <w:t xml:space="preserve"> </w:t>
      </w:r>
      <w:bookmarkStart w:id="8" w:name="_Hlk76111413"/>
      <w:r w:rsidR="00360842">
        <w:rPr>
          <w:rFonts w:ascii="Times New Roman" w:hAnsi="Times New Roman" w:cs="Times New Roman"/>
          <w:sz w:val="24"/>
          <w:szCs w:val="24"/>
        </w:rPr>
        <w:t>Poe and Tate 1994, Davenport 2007, Murdie and Bhasin 2011, Meernik et al. 2012</w:t>
      </w:r>
      <w:bookmarkEnd w:id="8"/>
      <w:r w:rsidR="00360842">
        <w:rPr>
          <w:rFonts w:ascii="Times New Roman" w:hAnsi="Times New Roman" w:cs="Times New Roman"/>
          <w:sz w:val="24"/>
          <w:szCs w:val="24"/>
        </w:rPr>
        <w:t>)</w:t>
      </w:r>
      <w:r w:rsidR="003043B6">
        <w:rPr>
          <w:rFonts w:ascii="Times New Roman" w:hAnsi="Times New Roman" w:cs="Times New Roman"/>
          <w:sz w:val="24"/>
          <w:szCs w:val="24"/>
        </w:rPr>
        <w:t>.</w:t>
      </w:r>
      <w:r w:rsidR="00360842">
        <w:rPr>
          <w:rFonts w:ascii="Times New Roman" w:hAnsi="Times New Roman" w:cs="Times New Roman"/>
          <w:sz w:val="24"/>
          <w:szCs w:val="24"/>
        </w:rPr>
        <w:t xml:space="preserve"> </w:t>
      </w:r>
      <w:r>
        <w:rPr>
          <w:rFonts w:ascii="Times New Roman" w:hAnsi="Times New Roman" w:cs="Times New Roman"/>
          <w:sz w:val="24"/>
          <w:szCs w:val="24"/>
        </w:rPr>
        <w:t xml:space="preserve">These include </w:t>
      </w:r>
      <w:r w:rsidRPr="0008081A">
        <w:rPr>
          <w:rFonts w:ascii="Times New Roman" w:hAnsi="Times New Roman" w:cs="Times New Roman"/>
          <w:sz w:val="24"/>
          <w:szCs w:val="24"/>
        </w:rPr>
        <w:t>internal unrest</w:t>
      </w:r>
      <w:r w:rsidR="00B52C71">
        <w:rPr>
          <w:rFonts w:ascii="Times New Roman" w:hAnsi="Times New Roman" w:cs="Times New Roman"/>
          <w:sz w:val="24"/>
          <w:szCs w:val="24"/>
        </w:rPr>
        <w:t xml:space="preserve"> (Davenport 1995)</w:t>
      </w:r>
      <w:r w:rsidRPr="0008081A">
        <w:rPr>
          <w:rFonts w:ascii="Times New Roman" w:hAnsi="Times New Roman" w:cs="Times New Roman"/>
          <w:sz w:val="24"/>
          <w:szCs w:val="24"/>
        </w:rPr>
        <w:t>,</w:t>
      </w:r>
      <w:r w:rsidR="00B52C71">
        <w:rPr>
          <w:rStyle w:val="FootnoteReference"/>
          <w:rFonts w:ascii="Times New Roman" w:hAnsi="Times New Roman" w:cs="Times New Roman"/>
          <w:sz w:val="24"/>
          <w:szCs w:val="24"/>
        </w:rPr>
        <w:footnoteReference w:id="44"/>
      </w:r>
      <w:r w:rsidRPr="0008081A">
        <w:rPr>
          <w:rFonts w:ascii="Times New Roman" w:hAnsi="Times New Roman" w:cs="Times New Roman"/>
          <w:sz w:val="24"/>
          <w:szCs w:val="24"/>
        </w:rPr>
        <w:t xml:space="preserve"> neighborhood unrest</w:t>
      </w:r>
      <w:r w:rsidR="00B52C71">
        <w:rPr>
          <w:rFonts w:ascii="Times New Roman" w:hAnsi="Times New Roman" w:cs="Times New Roman"/>
          <w:sz w:val="24"/>
          <w:szCs w:val="24"/>
        </w:rPr>
        <w:t xml:space="preserve"> (Danneman and Ritter 2013)</w:t>
      </w:r>
      <w:r w:rsidRPr="0008081A">
        <w:rPr>
          <w:rFonts w:ascii="Times New Roman" w:hAnsi="Times New Roman" w:cs="Times New Roman"/>
          <w:sz w:val="24"/>
          <w:szCs w:val="24"/>
        </w:rPr>
        <w:t>,</w:t>
      </w:r>
      <w:r w:rsidR="00B52C71">
        <w:rPr>
          <w:rStyle w:val="FootnoteReference"/>
          <w:rFonts w:ascii="Times New Roman" w:hAnsi="Times New Roman" w:cs="Times New Roman"/>
          <w:sz w:val="24"/>
          <w:szCs w:val="24"/>
        </w:rPr>
        <w:footnoteReference w:id="45"/>
      </w:r>
      <w:r w:rsidRPr="0008081A">
        <w:rPr>
          <w:rFonts w:ascii="Times New Roman" w:hAnsi="Times New Roman" w:cs="Times New Roman"/>
          <w:sz w:val="24"/>
          <w:szCs w:val="24"/>
        </w:rPr>
        <w:t xml:space="preserve"> executive constraint</w:t>
      </w:r>
      <w:r w:rsidR="00360842">
        <w:rPr>
          <w:rFonts w:ascii="Times New Roman" w:hAnsi="Times New Roman" w:cs="Times New Roman"/>
          <w:sz w:val="24"/>
          <w:szCs w:val="24"/>
        </w:rPr>
        <w:t xml:space="preserve"> (</w:t>
      </w:r>
      <w:bookmarkStart w:id="9" w:name="_Hlk76111575"/>
      <w:r w:rsidR="00360842">
        <w:rPr>
          <w:rFonts w:ascii="Times New Roman" w:hAnsi="Times New Roman" w:cs="Times New Roman"/>
          <w:sz w:val="24"/>
          <w:szCs w:val="24"/>
        </w:rPr>
        <w:t>Marshall and Gurr, 2020</w:t>
      </w:r>
      <w:bookmarkEnd w:id="9"/>
      <w:r w:rsidR="00360842">
        <w:rPr>
          <w:rFonts w:ascii="Times New Roman" w:hAnsi="Times New Roman" w:cs="Times New Roman"/>
          <w:sz w:val="24"/>
          <w:szCs w:val="24"/>
        </w:rPr>
        <w:t>)</w:t>
      </w:r>
      <w:r w:rsidRPr="0008081A">
        <w:rPr>
          <w:rFonts w:ascii="Times New Roman" w:hAnsi="Times New Roman" w:cs="Times New Roman"/>
          <w:sz w:val="24"/>
          <w:szCs w:val="24"/>
        </w:rPr>
        <w:t>, population size</w:t>
      </w:r>
      <w:r w:rsidR="00360842">
        <w:rPr>
          <w:rFonts w:ascii="Times New Roman" w:hAnsi="Times New Roman" w:cs="Times New Roman"/>
          <w:sz w:val="24"/>
          <w:szCs w:val="24"/>
        </w:rPr>
        <w:t xml:space="preserve"> </w:t>
      </w:r>
      <w:r w:rsidR="00360842">
        <w:rPr>
          <w:rFonts w:ascii="Times New Roman" w:hAnsi="Times New Roman" w:cs="Times New Roman"/>
          <w:sz w:val="24"/>
          <w:szCs w:val="24"/>
        </w:rPr>
        <w:lastRenderedPageBreak/>
        <w:t>(</w:t>
      </w:r>
      <w:bookmarkStart w:id="10" w:name="_Hlk76111613"/>
      <w:r w:rsidR="00360842">
        <w:rPr>
          <w:rFonts w:ascii="Times New Roman" w:hAnsi="Times New Roman" w:cs="Times New Roman"/>
          <w:sz w:val="24"/>
          <w:szCs w:val="24"/>
        </w:rPr>
        <w:t>Richards et al. 2015</w:t>
      </w:r>
      <w:bookmarkEnd w:id="10"/>
      <w:r w:rsidR="00360842">
        <w:rPr>
          <w:rFonts w:ascii="Times New Roman" w:hAnsi="Times New Roman" w:cs="Times New Roman"/>
          <w:sz w:val="24"/>
          <w:szCs w:val="24"/>
        </w:rPr>
        <w:t>)</w:t>
      </w:r>
      <w:r w:rsidR="003043B6">
        <w:rPr>
          <w:rFonts w:ascii="Times New Roman" w:hAnsi="Times New Roman" w:cs="Times New Roman"/>
          <w:sz w:val="24"/>
          <w:szCs w:val="24"/>
        </w:rPr>
        <w:t>,</w:t>
      </w:r>
      <w:r w:rsidR="00360842">
        <w:rPr>
          <w:rStyle w:val="FootnoteReference"/>
          <w:rFonts w:ascii="Times New Roman" w:hAnsi="Times New Roman" w:cs="Times New Roman"/>
          <w:sz w:val="24"/>
          <w:szCs w:val="24"/>
        </w:rPr>
        <w:footnoteReference w:id="46"/>
      </w:r>
      <w:r w:rsidRPr="0008081A">
        <w:rPr>
          <w:rFonts w:ascii="Times New Roman" w:hAnsi="Times New Roman" w:cs="Times New Roman"/>
          <w:sz w:val="24"/>
          <w:szCs w:val="24"/>
        </w:rPr>
        <w:t xml:space="preserve"> </w:t>
      </w:r>
      <w:r w:rsidR="0008081A" w:rsidRPr="0008081A">
        <w:rPr>
          <w:rFonts w:ascii="Times New Roman" w:hAnsi="Times New Roman" w:cs="Times New Roman"/>
          <w:sz w:val="24"/>
          <w:szCs w:val="24"/>
        </w:rPr>
        <w:t>state wealth</w:t>
      </w:r>
      <w:r w:rsidR="00880649">
        <w:rPr>
          <w:rFonts w:ascii="Times New Roman" w:hAnsi="Times New Roman" w:cs="Times New Roman"/>
          <w:sz w:val="24"/>
          <w:szCs w:val="24"/>
        </w:rPr>
        <w:t xml:space="preserve"> (Richards et al. 2015)</w:t>
      </w:r>
      <w:r w:rsidR="003043B6">
        <w:rPr>
          <w:rFonts w:ascii="Times New Roman" w:hAnsi="Times New Roman" w:cs="Times New Roman"/>
          <w:sz w:val="24"/>
          <w:szCs w:val="24"/>
        </w:rPr>
        <w:t>,</w:t>
      </w:r>
      <w:r w:rsidR="00880649">
        <w:rPr>
          <w:rStyle w:val="FootnoteReference"/>
          <w:rFonts w:ascii="Times New Roman" w:hAnsi="Times New Roman" w:cs="Times New Roman"/>
          <w:sz w:val="24"/>
          <w:szCs w:val="24"/>
        </w:rPr>
        <w:footnoteReference w:id="47"/>
      </w:r>
      <w:r w:rsidR="0008081A" w:rsidRPr="0008081A">
        <w:rPr>
          <w:rFonts w:ascii="Times New Roman" w:hAnsi="Times New Roman" w:cs="Times New Roman"/>
          <w:sz w:val="24"/>
          <w:szCs w:val="24"/>
        </w:rPr>
        <w:t xml:space="preserve"> net aid assistance</w:t>
      </w:r>
      <w:r w:rsidR="004B6D76">
        <w:rPr>
          <w:rFonts w:ascii="Times New Roman" w:hAnsi="Times New Roman" w:cs="Times New Roman"/>
          <w:sz w:val="24"/>
          <w:szCs w:val="24"/>
        </w:rPr>
        <w:t xml:space="preserve"> (</w:t>
      </w:r>
      <w:bookmarkStart w:id="11" w:name="_Hlk76111650"/>
      <w:r w:rsidR="004B6D76">
        <w:rPr>
          <w:rFonts w:ascii="Times New Roman" w:hAnsi="Times New Roman" w:cs="Times New Roman"/>
          <w:sz w:val="24"/>
          <w:szCs w:val="24"/>
        </w:rPr>
        <w:t>O’Hare and Southall 2007</w:t>
      </w:r>
      <w:bookmarkEnd w:id="11"/>
      <w:r w:rsidR="004B6D76">
        <w:rPr>
          <w:rFonts w:ascii="Times New Roman" w:hAnsi="Times New Roman" w:cs="Times New Roman"/>
          <w:sz w:val="24"/>
          <w:szCs w:val="24"/>
        </w:rPr>
        <w:t>)</w:t>
      </w:r>
      <w:r w:rsidR="003043B6">
        <w:rPr>
          <w:rFonts w:ascii="Times New Roman" w:hAnsi="Times New Roman" w:cs="Times New Roman"/>
          <w:sz w:val="24"/>
          <w:szCs w:val="24"/>
        </w:rPr>
        <w:t>,</w:t>
      </w:r>
      <w:r w:rsidR="00880649">
        <w:rPr>
          <w:rStyle w:val="FootnoteReference"/>
          <w:rFonts w:ascii="Times New Roman" w:hAnsi="Times New Roman" w:cs="Times New Roman"/>
          <w:sz w:val="24"/>
          <w:szCs w:val="24"/>
        </w:rPr>
        <w:footnoteReference w:id="48"/>
      </w:r>
      <w:r w:rsidR="0008081A" w:rsidRPr="0008081A">
        <w:rPr>
          <w:rFonts w:ascii="Times New Roman" w:hAnsi="Times New Roman" w:cs="Times New Roman"/>
          <w:sz w:val="24"/>
          <w:szCs w:val="24"/>
        </w:rPr>
        <w:t xml:space="preserve"> presence of peacekeeping missions</w:t>
      </w:r>
      <w:r w:rsidR="00B52C71">
        <w:rPr>
          <w:rFonts w:ascii="Times New Roman" w:hAnsi="Times New Roman" w:cs="Times New Roman"/>
          <w:sz w:val="24"/>
          <w:szCs w:val="24"/>
        </w:rPr>
        <w:t xml:space="preserve"> (Murdie and Davis 2010)</w:t>
      </w:r>
      <w:r w:rsidR="0008081A" w:rsidRPr="0008081A">
        <w:rPr>
          <w:rFonts w:ascii="Times New Roman" w:hAnsi="Times New Roman" w:cs="Times New Roman"/>
          <w:sz w:val="24"/>
          <w:szCs w:val="24"/>
        </w:rPr>
        <w:t>,</w:t>
      </w:r>
      <w:r w:rsidR="00880649">
        <w:rPr>
          <w:rStyle w:val="FootnoteReference"/>
          <w:rFonts w:ascii="Times New Roman" w:hAnsi="Times New Roman" w:cs="Times New Roman"/>
          <w:sz w:val="24"/>
          <w:szCs w:val="24"/>
        </w:rPr>
        <w:footnoteReference w:id="49"/>
      </w:r>
      <w:r w:rsidR="0008081A" w:rsidRPr="0008081A">
        <w:rPr>
          <w:rFonts w:ascii="Times New Roman" w:hAnsi="Times New Roman" w:cs="Times New Roman"/>
          <w:sz w:val="24"/>
          <w:szCs w:val="24"/>
        </w:rPr>
        <w:t xml:space="preserve"> and a dummy variable for the Cold</w:t>
      </w:r>
      <w:r w:rsidR="007778B8">
        <w:rPr>
          <w:rFonts w:ascii="Times New Roman" w:hAnsi="Times New Roman" w:cs="Times New Roman"/>
          <w:sz w:val="24"/>
          <w:szCs w:val="24"/>
        </w:rPr>
        <w:t xml:space="preserve"> </w:t>
      </w:r>
      <w:r w:rsidR="0008081A" w:rsidRPr="0008081A">
        <w:rPr>
          <w:rFonts w:ascii="Times New Roman" w:hAnsi="Times New Roman" w:cs="Times New Roman"/>
          <w:sz w:val="24"/>
          <w:szCs w:val="24"/>
        </w:rPr>
        <w:t>War/post</w:t>
      </w:r>
      <w:r w:rsidR="00880649">
        <w:rPr>
          <w:rFonts w:ascii="Times New Roman" w:hAnsi="Times New Roman" w:cs="Times New Roman"/>
          <w:sz w:val="24"/>
          <w:szCs w:val="24"/>
        </w:rPr>
        <w:t>-</w:t>
      </w:r>
      <w:r w:rsidR="0008081A" w:rsidRPr="0008081A">
        <w:rPr>
          <w:rFonts w:ascii="Times New Roman" w:hAnsi="Times New Roman" w:cs="Times New Roman"/>
          <w:sz w:val="24"/>
          <w:szCs w:val="24"/>
        </w:rPr>
        <w:t>Cold War eras.</w:t>
      </w:r>
      <w:r w:rsidR="0008081A">
        <w:rPr>
          <w:rFonts w:ascii="Times New Roman" w:hAnsi="Times New Roman" w:cs="Times New Roman"/>
          <w:sz w:val="24"/>
          <w:szCs w:val="24"/>
        </w:rPr>
        <w:t xml:space="preserve"> All independent variables are lagged by one year.</w:t>
      </w:r>
      <w:r w:rsidR="00A35FE6">
        <w:rPr>
          <w:rFonts w:ascii="Times New Roman" w:hAnsi="Times New Roman" w:cs="Times New Roman"/>
          <w:sz w:val="24"/>
          <w:szCs w:val="24"/>
        </w:rPr>
        <w:t xml:space="preserve"> </w:t>
      </w:r>
    </w:p>
    <w:p w14:paraId="56952A9D" w14:textId="77777777" w:rsidR="004D0FCF" w:rsidRPr="00262B65" w:rsidRDefault="004D0FCF" w:rsidP="004D0FCF">
      <w:pPr>
        <w:pStyle w:val="NoSpacing"/>
        <w:rPr>
          <w:rFonts w:ascii="Times New Roman" w:hAnsi="Times New Roman" w:cs="Times New Roman"/>
          <w:b/>
          <w:bCs/>
          <w:sz w:val="24"/>
          <w:szCs w:val="24"/>
        </w:rPr>
      </w:pPr>
      <w:r w:rsidRPr="00262B65">
        <w:rPr>
          <w:rFonts w:ascii="Times New Roman" w:hAnsi="Times New Roman" w:cs="Times New Roman"/>
          <w:b/>
          <w:bCs/>
          <w:sz w:val="24"/>
          <w:szCs w:val="24"/>
        </w:rPr>
        <w:t>TABLE 2: Logit Regressions and Odds Ratios for Base and Political Shock Model</w:t>
      </w:r>
      <w:r>
        <w:rPr>
          <w:rFonts w:ascii="Times New Roman" w:hAnsi="Times New Roman" w:cs="Times New Roman"/>
          <w:b/>
          <w:bCs/>
          <w:sz w:val="24"/>
          <w:szCs w:val="24"/>
        </w:rPr>
        <w:t>s</w:t>
      </w:r>
      <w:r w:rsidRPr="00262B65">
        <w:rPr>
          <w:rFonts w:ascii="Times New Roman" w:hAnsi="Times New Roman" w:cs="Times New Roman"/>
          <w:b/>
          <w:bCs/>
          <w:sz w:val="24"/>
          <w:szCs w:val="24"/>
        </w:rPr>
        <w:t xml:space="preserve"> on Levels of Human Rights.</w:t>
      </w:r>
    </w:p>
    <w:tbl>
      <w:tblPr>
        <w:tblW w:w="4999" w:type="pct"/>
        <w:jc w:val="center"/>
        <w:tblCellMar>
          <w:left w:w="75" w:type="dxa"/>
          <w:right w:w="75" w:type="dxa"/>
        </w:tblCellMar>
        <w:tblLook w:val="0000" w:firstRow="0" w:lastRow="0" w:firstColumn="0" w:lastColumn="0" w:noHBand="0" w:noVBand="0"/>
      </w:tblPr>
      <w:tblGrid>
        <w:gridCol w:w="2327"/>
        <w:gridCol w:w="1653"/>
        <w:gridCol w:w="1797"/>
        <w:gridCol w:w="1797"/>
        <w:gridCol w:w="1784"/>
      </w:tblGrid>
      <w:tr w:rsidR="003043B6" w:rsidRPr="00D1647D" w14:paraId="1E5958F6" w14:textId="77777777" w:rsidTr="003043B6">
        <w:trPr>
          <w:jc w:val="center"/>
        </w:trPr>
        <w:tc>
          <w:tcPr>
            <w:tcW w:w="1243" w:type="pct"/>
            <w:tcBorders>
              <w:top w:val="single" w:sz="6" w:space="0" w:color="auto"/>
              <w:left w:val="nil"/>
              <w:bottom w:val="nil"/>
              <w:right w:val="nil"/>
            </w:tcBorders>
          </w:tcPr>
          <w:p w14:paraId="63133FE6" w14:textId="77777777" w:rsidR="003043B6" w:rsidRPr="00D1647D" w:rsidRDefault="003043B6"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 xml:space="preserve">                                                       </w:t>
            </w:r>
          </w:p>
        </w:tc>
        <w:tc>
          <w:tcPr>
            <w:tcW w:w="1843" w:type="pct"/>
            <w:gridSpan w:val="2"/>
            <w:tcBorders>
              <w:top w:val="single" w:sz="6" w:space="0" w:color="auto"/>
              <w:left w:val="nil"/>
              <w:bottom w:val="nil"/>
              <w:right w:val="single" w:sz="4" w:space="0" w:color="auto"/>
            </w:tcBorders>
          </w:tcPr>
          <w:p w14:paraId="6ACA34F6" w14:textId="5479DC1A" w:rsidR="003043B6" w:rsidRPr="00D1647D" w:rsidRDefault="003043B6" w:rsidP="003043B6">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PANEL 1</w:t>
            </w:r>
          </w:p>
        </w:tc>
        <w:tc>
          <w:tcPr>
            <w:tcW w:w="1913" w:type="pct"/>
            <w:gridSpan w:val="2"/>
            <w:tcBorders>
              <w:top w:val="single" w:sz="6" w:space="0" w:color="auto"/>
              <w:left w:val="single" w:sz="4" w:space="0" w:color="auto"/>
              <w:bottom w:val="nil"/>
              <w:right w:val="nil"/>
            </w:tcBorders>
          </w:tcPr>
          <w:p w14:paraId="2F139C21" w14:textId="0495CD95" w:rsidR="003043B6" w:rsidRPr="00D1647D" w:rsidRDefault="003043B6" w:rsidP="003043B6">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PANEL 2</w:t>
            </w:r>
          </w:p>
        </w:tc>
      </w:tr>
      <w:tr w:rsidR="004D0FCF" w:rsidRPr="00D1647D" w14:paraId="421F4F49" w14:textId="77777777" w:rsidTr="00266215">
        <w:trPr>
          <w:jc w:val="center"/>
        </w:trPr>
        <w:tc>
          <w:tcPr>
            <w:tcW w:w="1243" w:type="pct"/>
            <w:tcBorders>
              <w:top w:val="nil"/>
              <w:left w:val="nil"/>
              <w:bottom w:val="single" w:sz="6" w:space="0" w:color="auto"/>
              <w:right w:val="nil"/>
            </w:tcBorders>
          </w:tcPr>
          <w:p w14:paraId="64B686F8"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83" w:type="pct"/>
            <w:tcBorders>
              <w:top w:val="nil"/>
              <w:left w:val="nil"/>
              <w:bottom w:val="single" w:sz="6" w:space="0" w:color="auto"/>
              <w:right w:val="nil"/>
            </w:tcBorders>
          </w:tcPr>
          <w:p w14:paraId="772AE645" w14:textId="53D55560" w:rsidR="003043B6" w:rsidRDefault="003043B6"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p w14:paraId="4964BB60" w14:textId="2A4A1596"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 xml:space="preserve">Base </w:t>
            </w:r>
          </w:p>
          <w:p w14:paraId="38751F34"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Model</w:t>
            </w:r>
          </w:p>
        </w:tc>
        <w:tc>
          <w:tcPr>
            <w:tcW w:w="960" w:type="pct"/>
            <w:tcBorders>
              <w:top w:val="nil"/>
              <w:left w:val="nil"/>
              <w:bottom w:val="single" w:sz="6" w:space="0" w:color="auto"/>
              <w:right w:val="single" w:sz="4" w:space="0" w:color="auto"/>
            </w:tcBorders>
          </w:tcPr>
          <w:p w14:paraId="3C1348B4" w14:textId="0EC019AD" w:rsidR="003043B6" w:rsidRDefault="003043B6"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14:paraId="003AD2C1" w14:textId="3A391CD1"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 xml:space="preserve">Shock </w:t>
            </w:r>
          </w:p>
          <w:p w14:paraId="6BB3E6D0"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Model</w:t>
            </w:r>
          </w:p>
        </w:tc>
        <w:tc>
          <w:tcPr>
            <w:tcW w:w="960" w:type="pct"/>
            <w:tcBorders>
              <w:top w:val="nil"/>
              <w:left w:val="single" w:sz="4" w:space="0" w:color="auto"/>
              <w:bottom w:val="single" w:sz="6" w:space="0" w:color="auto"/>
              <w:right w:val="nil"/>
            </w:tcBorders>
          </w:tcPr>
          <w:p w14:paraId="4452F7AB" w14:textId="40052393" w:rsidR="003043B6" w:rsidRDefault="003043B6"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p w14:paraId="6FAABC50" w14:textId="34DAAE06"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 xml:space="preserve">Base  </w:t>
            </w:r>
          </w:p>
          <w:p w14:paraId="04072FF1"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Model</w:t>
            </w:r>
          </w:p>
        </w:tc>
        <w:tc>
          <w:tcPr>
            <w:tcW w:w="953" w:type="pct"/>
            <w:tcBorders>
              <w:top w:val="nil"/>
              <w:left w:val="nil"/>
              <w:bottom w:val="single" w:sz="6" w:space="0" w:color="auto"/>
              <w:right w:val="nil"/>
            </w:tcBorders>
          </w:tcPr>
          <w:p w14:paraId="5182C320" w14:textId="26929806" w:rsidR="003043B6" w:rsidRDefault="003043B6"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14:paraId="22C6F32A" w14:textId="2032A222"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 xml:space="preserve">Shock </w:t>
            </w:r>
          </w:p>
          <w:p w14:paraId="456B5817"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Model</w:t>
            </w:r>
          </w:p>
        </w:tc>
      </w:tr>
      <w:tr w:rsidR="004D0FCF" w:rsidRPr="00D1647D" w14:paraId="764267FC" w14:textId="77777777" w:rsidTr="00266215">
        <w:trPr>
          <w:jc w:val="center"/>
        </w:trPr>
        <w:tc>
          <w:tcPr>
            <w:tcW w:w="1243" w:type="pct"/>
            <w:tcBorders>
              <w:top w:val="nil"/>
              <w:left w:val="nil"/>
              <w:bottom w:val="nil"/>
              <w:right w:val="nil"/>
            </w:tcBorders>
          </w:tcPr>
          <w:p w14:paraId="463170B2"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83" w:type="pct"/>
            <w:tcBorders>
              <w:top w:val="nil"/>
              <w:left w:val="nil"/>
              <w:bottom w:val="nil"/>
              <w:right w:val="nil"/>
            </w:tcBorders>
          </w:tcPr>
          <w:p w14:paraId="71BD39F2"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960" w:type="pct"/>
            <w:tcBorders>
              <w:top w:val="nil"/>
              <w:left w:val="nil"/>
              <w:bottom w:val="nil"/>
              <w:right w:val="single" w:sz="4" w:space="0" w:color="auto"/>
            </w:tcBorders>
          </w:tcPr>
          <w:p w14:paraId="0364FE97"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960" w:type="pct"/>
            <w:tcBorders>
              <w:top w:val="nil"/>
              <w:left w:val="single" w:sz="4" w:space="0" w:color="auto"/>
              <w:bottom w:val="nil"/>
              <w:right w:val="nil"/>
            </w:tcBorders>
          </w:tcPr>
          <w:p w14:paraId="54879C21"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953" w:type="pct"/>
            <w:tcBorders>
              <w:top w:val="nil"/>
              <w:left w:val="nil"/>
              <w:bottom w:val="nil"/>
              <w:right w:val="nil"/>
            </w:tcBorders>
          </w:tcPr>
          <w:p w14:paraId="717D7D72"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4D0FCF" w:rsidRPr="00D1647D" w14:paraId="0F208183" w14:textId="77777777" w:rsidTr="00266215">
        <w:trPr>
          <w:jc w:val="center"/>
        </w:trPr>
        <w:tc>
          <w:tcPr>
            <w:tcW w:w="1243" w:type="pct"/>
            <w:tcBorders>
              <w:top w:val="nil"/>
              <w:left w:val="nil"/>
              <w:bottom w:val="nil"/>
              <w:right w:val="nil"/>
            </w:tcBorders>
          </w:tcPr>
          <w:p w14:paraId="6C9C2C33"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b/>
                <w:bCs/>
                <w:sz w:val="24"/>
                <w:szCs w:val="24"/>
              </w:rPr>
            </w:pPr>
            <w:r w:rsidRPr="00D1647D">
              <w:rPr>
                <w:rFonts w:ascii="Times New Roman" w:eastAsiaTheme="minorEastAsia" w:hAnsi="Times New Roman" w:cs="Times New Roman"/>
                <w:b/>
                <w:bCs/>
                <w:sz w:val="24"/>
                <w:szCs w:val="24"/>
              </w:rPr>
              <w:t xml:space="preserve">Political Shock </w:t>
            </w:r>
          </w:p>
        </w:tc>
        <w:tc>
          <w:tcPr>
            <w:tcW w:w="883" w:type="pct"/>
            <w:tcBorders>
              <w:top w:val="nil"/>
              <w:left w:val="nil"/>
              <w:bottom w:val="nil"/>
              <w:right w:val="nil"/>
            </w:tcBorders>
          </w:tcPr>
          <w:p w14:paraId="3E5891E5"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960" w:type="pct"/>
            <w:tcBorders>
              <w:top w:val="nil"/>
              <w:left w:val="nil"/>
              <w:bottom w:val="nil"/>
              <w:right w:val="single" w:sz="4" w:space="0" w:color="auto"/>
            </w:tcBorders>
          </w:tcPr>
          <w:p w14:paraId="66E1D149"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b/>
                <w:bCs/>
                <w:sz w:val="24"/>
                <w:szCs w:val="24"/>
              </w:rPr>
            </w:pPr>
            <w:r w:rsidRPr="00D1647D">
              <w:rPr>
                <w:rFonts w:ascii="Times New Roman" w:eastAsiaTheme="minorEastAsia" w:hAnsi="Times New Roman" w:cs="Times New Roman"/>
                <w:b/>
                <w:bCs/>
                <w:sz w:val="24"/>
                <w:szCs w:val="24"/>
              </w:rPr>
              <w:t>-0.03</w:t>
            </w:r>
            <w:r>
              <w:rPr>
                <w:rFonts w:ascii="Times New Roman" w:eastAsiaTheme="minorEastAsia" w:hAnsi="Times New Roman" w:cs="Times New Roman"/>
                <w:b/>
                <w:bCs/>
                <w:sz w:val="24"/>
                <w:szCs w:val="24"/>
              </w:rPr>
              <w:t>2</w:t>
            </w:r>
            <w:r w:rsidRPr="00D1647D">
              <w:rPr>
                <w:rFonts w:ascii="Times New Roman" w:eastAsiaTheme="minorEastAsia" w:hAnsi="Times New Roman" w:cs="Times New Roman"/>
                <w:b/>
                <w:bCs/>
                <w:sz w:val="24"/>
                <w:szCs w:val="24"/>
              </w:rPr>
              <w:t>**</w:t>
            </w:r>
          </w:p>
        </w:tc>
        <w:tc>
          <w:tcPr>
            <w:tcW w:w="960" w:type="pct"/>
            <w:tcBorders>
              <w:top w:val="nil"/>
              <w:left w:val="single" w:sz="4" w:space="0" w:color="auto"/>
              <w:bottom w:val="nil"/>
              <w:right w:val="nil"/>
            </w:tcBorders>
          </w:tcPr>
          <w:p w14:paraId="0026C839"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953" w:type="pct"/>
            <w:tcBorders>
              <w:top w:val="nil"/>
              <w:left w:val="nil"/>
              <w:bottom w:val="nil"/>
              <w:right w:val="nil"/>
            </w:tcBorders>
          </w:tcPr>
          <w:p w14:paraId="6ADBD8FE"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b/>
                <w:bCs/>
                <w:sz w:val="24"/>
                <w:szCs w:val="24"/>
              </w:rPr>
            </w:pPr>
            <w:r w:rsidRPr="00D1647D">
              <w:rPr>
                <w:rFonts w:ascii="Times New Roman" w:eastAsiaTheme="minorEastAsia" w:hAnsi="Times New Roman" w:cs="Times New Roman"/>
                <w:b/>
                <w:bCs/>
                <w:sz w:val="24"/>
                <w:szCs w:val="24"/>
              </w:rPr>
              <w:t>0.555**</w:t>
            </w:r>
          </w:p>
        </w:tc>
      </w:tr>
      <w:tr w:rsidR="004D0FCF" w:rsidRPr="00D1647D" w14:paraId="4A6DDBD5" w14:textId="77777777" w:rsidTr="00266215">
        <w:trPr>
          <w:jc w:val="center"/>
        </w:trPr>
        <w:tc>
          <w:tcPr>
            <w:tcW w:w="1243" w:type="pct"/>
            <w:tcBorders>
              <w:top w:val="nil"/>
              <w:left w:val="nil"/>
              <w:bottom w:val="nil"/>
              <w:right w:val="nil"/>
            </w:tcBorders>
          </w:tcPr>
          <w:p w14:paraId="6D153C67"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83" w:type="pct"/>
            <w:tcBorders>
              <w:top w:val="nil"/>
              <w:left w:val="nil"/>
              <w:bottom w:val="nil"/>
              <w:right w:val="nil"/>
            </w:tcBorders>
          </w:tcPr>
          <w:p w14:paraId="62BB3600"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960" w:type="pct"/>
            <w:tcBorders>
              <w:top w:val="nil"/>
              <w:left w:val="nil"/>
              <w:bottom w:val="nil"/>
              <w:right w:val="single" w:sz="4" w:space="0" w:color="auto"/>
            </w:tcBorders>
          </w:tcPr>
          <w:p w14:paraId="43137E22"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b/>
                <w:bCs/>
                <w:sz w:val="24"/>
                <w:szCs w:val="24"/>
              </w:rPr>
            </w:pPr>
            <w:r w:rsidRPr="00D1647D">
              <w:rPr>
                <w:rFonts w:ascii="Times New Roman" w:eastAsiaTheme="minorEastAsia" w:hAnsi="Times New Roman" w:cs="Times New Roman"/>
                <w:b/>
                <w:bCs/>
                <w:sz w:val="24"/>
                <w:szCs w:val="24"/>
              </w:rPr>
              <w:t>(0.01</w:t>
            </w:r>
            <w:r>
              <w:rPr>
                <w:rFonts w:ascii="Times New Roman" w:eastAsiaTheme="minorEastAsia" w:hAnsi="Times New Roman" w:cs="Times New Roman"/>
                <w:b/>
                <w:bCs/>
                <w:sz w:val="24"/>
                <w:szCs w:val="24"/>
              </w:rPr>
              <w:t>3</w:t>
            </w:r>
            <w:r w:rsidRPr="00D1647D">
              <w:rPr>
                <w:rFonts w:ascii="Times New Roman" w:eastAsiaTheme="minorEastAsia" w:hAnsi="Times New Roman" w:cs="Times New Roman"/>
                <w:b/>
                <w:bCs/>
                <w:sz w:val="24"/>
                <w:szCs w:val="24"/>
              </w:rPr>
              <w:t>)</w:t>
            </w:r>
          </w:p>
        </w:tc>
        <w:tc>
          <w:tcPr>
            <w:tcW w:w="960" w:type="pct"/>
            <w:tcBorders>
              <w:top w:val="nil"/>
              <w:left w:val="single" w:sz="4" w:space="0" w:color="auto"/>
              <w:bottom w:val="nil"/>
              <w:right w:val="nil"/>
            </w:tcBorders>
          </w:tcPr>
          <w:p w14:paraId="5DDAB9EA"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953" w:type="pct"/>
            <w:tcBorders>
              <w:top w:val="nil"/>
              <w:left w:val="nil"/>
              <w:bottom w:val="nil"/>
              <w:right w:val="nil"/>
            </w:tcBorders>
          </w:tcPr>
          <w:p w14:paraId="2B1B1E80"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b/>
                <w:bCs/>
                <w:sz w:val="24"/>
                <w:szCs w:val="24"/>
              </w:rPr>
            </w:pPr>
            <w:r w:rsidRPr="00D1647D">
              <w:rPr>
                <w:rFonts w:ascii="Times New Roman" w:eastAsiaTheme="minorEastAsia" w:hAnsi="Times New Roman" w:cs="Times New Roman"/>
                <w:b/>
                <w:bCs/>
                <w:sz w:val="24"/>
                <w:szCs w:val="24"/>
              </w:rPr>
              <w:t>(0.132)</w:t>
            </w:r>
          </w:p>
        </w:tc>
      </w:tr>
      <w:tr w:rsidR="004D0FCF" w:rsidRPr="00D1647D" w14:paraId="2EFC38FF" w14:textId="77777777" w:rsidTr="00266215">
        <w:trPr>
          <w:jc w:val="center"/>
        </w:trPr>
        <w:tc>
          <w:tcPr>
            <w:tcW w:w="1243" w:type="pct"/>
            <w:tcBorders>
              <w:top w:val="nil"/>
              <w:left w:val="nil"/>
              <w:bottom w:val="nil"/>
              <w:right w:val="nil"/>
            </w:tcBorders>
          </w:tcPr>
          <w:p w14:paraId="73975138"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83" w:type="pct"/>
            <w:tcBorders>
              <w:top w:val="nil"/>
              <w:left w:val="nil"/>
              <w:bottom w:val="nil"/>
              <w:right w:val="nil"/>
            </w:tcBorders>
          </w:tcPr>
          <w:p w14:paraId="0F13BF31"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960" w:type="pct"/>
            <w:tcBorders>
              <w:top w:val="nil"/>
              <w:left w:val="nil"/>
              <w:bottom w:val="nil"/>
              <w:right w:val="single" w:sz="4" w:space="0" w:color="auto"/>
            </w:tcBorders>
          </w:tcPr>
          <w:p w14:paraId="039A795F"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960" w:type="pct"/>
            <w:tcBorders>
              <w:top w:val="nil"/>
              <w:left w:val="single" w:sz="4" w:space="0" w:color="auto"/>
              <w:bottom w:val="nil"/>
              <w:right w:val="nil"/>
            </w:tcBorders>
          </w:tcPr>
          <w:p w14:paraId="582ED853"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953" w:type="pct"/>
            <w:tcBorders>
              <w:top w:val="nil"/>
              <w:left w:val="nil"/>
              <w:bottom w:val="nil"/>
              <w:right w:val="nil"/>
            </w:tcBorders>
          </w:tcPr>
          <w:p w14:paraId="182DC571"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4D0FCF" w:rsidRPr="00D1647D" w14:paraId="0CA5F599" w14:textId="77777777" w:rsidTr="00266215">
        <w:trPr>
          <w:jc w:val="center"/>
        </w:trPr>
        <w:tc>
          <w:tcPr>
            <w:tcW w:w="1243" w:type="pct"/>
            <w:tcBorders>
              <w:top w:val="nil"/>
              <w:left w:val="nil"/>
              <w:bottom w:val="nil"/>
              <w:right w:val="nil"/>
            </w:tcBorders>
          </w:tcPr>
          <w:p w14:paraId="1D236A47"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Neighborhood Unrest</w:t>
            </w:r>
          </w:p>
        </w:tc>
        <w:tc>
          <w:tcPr>
            <w:tcW w:w="883" w:type="pct"/>
            <w:tcBorders>
              <w:top w:val="nil"/>
              <w:left w:val="nil"/>
              <w:bottom w:val="nil"/>
              <w:right w:val="nil"/>
            </w:tcBorders>
          </w:tcPr>
          <w:p w14:paraId="72B0DEE3"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-0.106**</w:t>
            </w:r>
          </w:p>
        </w:tc>
        <w:tc>
          <w:tcPr>
            <w:tcW w:w="960" w:type="pct"/>
            <w:tcBorders>
              <w:top w:val="nil"/>
              <w:left w:val="nil"/>
              <w:bottom w:val="nil"/>
              <w:right w:val="single" w:sz="4" w:space="0" w:color="auto"/>
            </w:tcBorders>
          </w:tcPr>
          <w:p w14:paraId="0663940B"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-0.101**</w:t>
            </w:r>
          </w:p>
        </w:tc>
        <w:tc>
          <w:tcPr>
            <w:tcW w:w="960" w:type="pct"/>
            <w:tcBorders>
              <w:top w:val="nil"/>
              <w:left w:val="single" w:sz="4" w:space="0" w:color="auto"/>
              <w:bottom w:val="nil"/>
              <w:right w:val="nil"/>
            </w:tcBorders>
          </w:tcPr>
          <w:p w14:paraId="35331AED"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0.899**</w:t>
            </w:r>
          </w:p>
        </w:tc>
        <w:tc>
          <w:tcPr>
            <w:tcW w:w="953" w:type="pct"/>
            <w:tcBorders>
              <w:top w:val="nil"/>
              <w:left w:val="nil"/>
              <w:bottom w:val="nil"/>
              <w:right w:val="nil"/>
            </w:tcBorders>
          </w:tcPr>
          <w:p w14:paraId="049CC108"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0.904**</w:t>
            </w:r>
          </w:p>
        </w:tc>
      </w:tr>
      <w:tr w:rsidR="004D0FCF" w:rsidRPr="00D1647D" w14:paraId="313B58B2" w14:textId="77777777" w:rsidTr="00266215">
        <w:trPr>
          <w:jc w:val="center"/>
        </w:trPr>
        <w:tc>
          <w:tcPr>
            <w:tcW w:w="1243" w:type="pct"/>
            <w:tcBorders>
              <w:top w:val="nil"/>
              <w:left w:val="nil"/>
              <w:bottom w:val="nil"/>
              <w:right w:val="nil"/>
            </w:tcBorders>
          </w:tcPr>
          <w:p w14:paraId="55CBB011"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83" w:type="pct"/>
            <w:tcBorders>
              <w:top w:val="nil"/>
              <w:left w:val="nil"/>
              <w:bottom w:val="nil"/>
              <w:right w:val="nil"/>
            </w:tcBorders>
          </w:tcPr>
          <w:p w14:paraId="022E72F1"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(0.045)</w:t>
            </w:r>
          </w:p>
        </w:tc>
        <w:tc>
          <w:tcPr>
            <w:tcW w:w="960" w:type="pct"/>
            <w:tcBorders>
              <w:top w:val="nil"/>
              <w:left w:val="nil"/>
              <w:bottom w:val="nil"/>
              <w:right w:val="single" w:sz="4" w:space="0" w:color="auto"/>
            </w:tcBorders>
          </w:tcPr>
          <w:p w14:paraId="4AFC3734"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(0.04</w:t>
            </w:r>
            <w:r>
              <w:rPr>
                <w:rFonts w:ascii="Times New Roman" w:eastAsiaTheme="minorEastAsia" w:hAnsi="Times New Roman" w:cs="Times New Roman"/>
                <w:sz w:val="24"/>
                <w:szCs w:val="24"/>
              </w:rPr>
              <w:t>7</w:t>
            </w:r>
            <w:r w:rsidRPr="00D1647D">
              <w:rPr>
                <w:rFonts w:ascii="Times New Roman" w:eastAsiaTheme="minorEastAsia" w:hAnsi="Times New Roman" w:cs="Times New Roman"/>
                <w:sz w:val="24"/>
                <w:szCs w:val="24"/>
              </w:rPr>
              <w:t>)</w:t>
            </w:r>
          </w:p>
        </w:tc>
        <w:tc>
          <w:tcPr>
            <w:tcW w:w="960" w:type="pct"/>
            <w:tcBorders>
              <w:top w:val="nil"/>
              <w:left w:val="single" w:sz="4" w:space="0" w:color="auto"/>
              <w:bottom w:val="nil"/>
              <w:right w:val="nil"/>
            </w:tcBorders>
          </w:tcPr>
          <w:p w14:paraId="48DEB3D0"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((0.04</w:t>
            </w:r>
            <w:r>
              <w:rPr>
                <w:rFonts w:ascii="Times New Roman" w:eastAsiaTheme="minorEastAsia" w:hAnsi="Times New Roman" w:cs="Times New Roman"/>
                <w:sz w:val="24"/>
                <w:szCs w:val="24"/>
              </w:rPr>
              <w:t>1</w:t>
            </w:r>
            <w:r w:rsidRPr="00D1647D">
              <w:rPr>
                <w:rFonts w:ascii="Times New Roman" w:eastAsiaTheme="minorEastAsia" w:hAnsi="Times New Roman" w:cs="Times New Roman"/>
                <w:sz w:val="24"/>
                <w:szCs w:val="24"/>
              </w:rPr>
              <w:t>)</w:t>
            </w:r>
          </w:p>
        </w:tc>
        <w:tc>
          <w:tcPr>
            <w:tcW w:w="953" w:type="pct"/>
            <w:tcBorders>
              <w:top w:val="nil"/>
              <w:left w:val="nil"/>
              <w:bottom w:val="nil"/>
              <w:right w:val="nil"/>
            </w:tcBorders>
          </w:tcPr>
          <w:p w14:paraId="22A50EF4"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(0.042)</w:t>
            </w:r>
          </w:p>
        </w:tc>
      </w:tr>
      <w:tr w:rsidR="004D0FCF" w:rsidRPr="00D1647D" w14:paraId="39295C22" w14:textId="77777777" w:rsidTr="00266215">
        <w:trPr>
          <w:jc w:val="center"/>
        </w:trPr>
        <w:tc>
          <w:tcPr>
            <w:tcW w:w="1243" w:type="pct"/>
            <w:tcBorders>
              <w:top w:val="nil"/>
              <w:left w:val="nil"/>
              <w:bottom w:val="nil"/>
              <w:right w:val="nil"/>
            </w:tcBorders>
          </w:tcPr>
          <w:p w14:paraId="4CC66507"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Internal Unrest</w:t>
            </w:r>
          </w:p>
        </w:tc>
        <w:tc>
          <w:tcPr>
            <w:tcW w:w="883" w:type="pct"/>
            <w:tcBorders>
              <w:top w:val="nil"/>
              <w:left w:val="nil"/>
              <w:bottom w:val="nil"/>
              <w:right w:val="nil"/>
            </w:tcBorders>
          </w:tcPr>
          <w:p w14:paraId="721E9881"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-0.231***</w:t>
            </w:r>
          </w:p>
        </w:tc>
        <w:tc>
          <w:tcPr>
            <w:tcW w:w="960" w:type="pct"/>
            <w:tcBorders>
              <w:top w:val="nil"/>
              <w:left w:val="nil"/>
              <w:bottom w:val="nil"/>
              <w:right w:val="single" w:sz="4" w:space="0" w:color="auto"/>
            </w:tcBorders>
          </w:tcPr>
          <w:p w14:paraId="1ACD7A56"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-0.236***</w:t>
            </w:r>
          </w:p>
        </w:tc>
        <w:tc>
          <w:tcPr>
            <w:tcW w:w="960" w:type="pct"/>
            <w:tcBorders>
              <w:top w:val="nil"/>
              <w:left w:val="single" w:sz="4" w:space="0" w:color="auto"/>
              <w:bottom w:val="nil"/>
              <w:right w:val="nil"/>
            </w:tcBorders>
          </w:tcPr>
          <w:p w14:paraId="57DAF741"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0.794***</w:t>
            </w:r>
          </w:p>
        </w:tc>
        <w:tc>
          <w:tcPr>
            <w:tcW w:w="953" w:type="pct"/>
            <w:tcBorders>
              <w:top w:val="nil"/>
              <w:left w:val="nil"/>
              <w:bottom w:val="nil"/>
              <w:right w:val="nil"/>
            </w:tcBorders>
          </w:tcPr>
          <w:p w14:paraId="064C536E"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0.789***</w:t>
            </w:r>
          </w:p>
        </w:tc>
      </w:tr>
      <w:tr w:rsidR="004D0FCF" w:rsidRPr="00D1647D" w14:paraId="47E1815B" w14:textId="77777777" w:rsidTr="00266215">
        <w:trPr>
          <w:jc w:val="center"/>
        </w:trPr>
        <w:tc>
          <w:tcPr>
            <w:tcW w:w="1243" w:type="pct"/>
            <w:tcBorders>
              <w:top w:val="nil"/>
              <w:left w:val="nil"/>
              <w:bottom w:val="nil"/>
              <w:right w:val="nil"/>
            </w:tcBorders>
          </w:tcPr>
          <w:p w14:paraId="02C04E89"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83" w:type="pct"/>
            <w:tcBorders>
              <w:top w:val="nil"/>
              <w:left w:val="nil"/>
              <w:bottom w:val="nil"/>
              <w:right w:val="nil"/>
            </w:tcBorders>
          </w:tcPr>
          <w:p w14:paraId="26918A81"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(0.073)</w:t>
            </w:r>
          </w:p>
        </w:tc>
        <w:tc>
          <w:tcPr>
            <w:tcW w:w="960" w:type="pct"/>
            <w:tcBorders>
              <w:top w:val="nil"/>
              <w:left w:val="nil"/>
              <w:bottom w:val="nil"/>
              <w:right w:val="single" w:sz="4" w:space="0" w:color="auto"/>
            </w:tcBorders>
          </w:tcPr>
          <w:p w14:paraId="387B3B33"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(0.074)</w:t>
            </w:r>
          </w:p>
        </w:tc>
        <w:tc>
          <w:tcPr>
            <w:tcW w:w="960" w:type="pct"/>
            <w:tcBorders>
              <w:top w:val="nil"/>
              <w:left w:val="single" w:sz="4" w:space="0" w:color="auto"/>
              <w:bottom w:val="nil"/>
              <w:right w:val="nil"/>
            </w:tcBorders>
          </w:tcPr>
          <w:p w14:paraId="6A9AF72E"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(0.058)</w:t>
            </w:r>
          </w:p>
        </w:tc>
        <w:tc>
          <w:tcPr>
            <w:tcW w:w="953" w:type="pct"/>
            <w:tcBorders>
              <w:top w:val="nil"/>
              <w:left w:val="nil"/>
              <w:bottom w:val="nil"/>
              <w:right w:val="nil"/>
            </w:tcBorders>
          </w:tcPr>
          <w:p w14:paraId="56098FE1"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(0.05</w:t>
            </w:r>
            <w:r>
              <w:rPr>
                <w:rFonts w:ascii="Times New Roman" w:eastAsiaTheme="minorEastAsia" w:hAnsi="Times New Roman" w:cs="Times New Roman"/>
                <w:sz w:val="24"/>
                <w:szCs w:val="24"/>
              </w:rPr>
              <w:t>9</w:t>
            </w:r>
            <w:r w:rsidRPr="00D1647D">
              <w:rPr>
                <w:rFonts w:ascii="Times New Roman" w:eastAsiaTheme="minorEastAsia" w:hAnsi="Times New Roman" w:cs="Times New Roman"/>
                <w:sz w:val="24"/>
                <w:szCs w:val="24"/>
              </w:rPr>
              <w:t>)</w:t>
            </w:r>
          </w:p>
        </w:tc>
      </w:tr>
      <w:tr w:rsidR="004D0FCF" w:rsidRPr="00D1647D" w14:paraId="10F8F40F" w14:textId="77777777" w:rsidTr="00266215">
        <w:trPr>
          <w:jc w:val="center"/>
        </w:trPr>
        <w:tc>
          <w:tcPr>
            <w:tcW w:w="1243" w:type="pct"/>
            <w:tcBorders>
              <w:top w:val="nil"/>
              <w:left w:val="nil"/>
              <w:bottom w:val="nil"/>
              <w:right w:val="nil"/>
            </w:tcBorders>
          </w:tcPr>
          <w:p w14:paraId="312C5900"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Executive Constraints</w:t>
            </w:r>
          </w:p>
        </w:tc>
        <w:tc>
          <w:tcPr>
            <w:tcW w:w="883" w:type="pct"/>
            <w:tcBorders>
              <w:top w:val="nil"/>
              <w:left w:val="nil"/>
              <w:bottom w:val="nil"/>
              <w:right w:val="nil"/>
            </w:tcBorders>
          </w:tcPr>
          <w:p w14:paraId="0D5F1FC8"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0.339***</w:t>
            </w:r>
          </w:p>
        </w:tc>
        <w:tc>
          <w:tcPr>
            <w:tcW w:w="960" w:type="pct"/>
            <w:tcBorders>
              <w:top w:val="nil"/>
              <w:left w:val="nil"/>
              <w:bottom w:val="nil"/>
              <w:right w:val="single" w:sz="4" w:space="0" w:color="auto"/>
            </w:tcBorders>
          </w:tcPr>
          <w:p w14:paraId="1552F9C6"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0.325***</w:t>
            </w:r>
          </w:p>
        </w:tc>
        <w:tc>
          <w:tcPr>
            <w:tcW w:w="960" w:type="pct"/>
            <w:tcBorders>
              <w:top w:val="nil"/>
              <w:left w:val="single" w:sz="4" w:space="0" w:color="auto"/>
              <w:bottom w:val="nil"/>
              <w:right w:val="nil"/>
            </w:tcBorders>
          </w:tcPr>
          <w:p w14:paraId="2B44EAA9"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1.403***</w:t>
            </w:r>
          </w:p>
        </w:tc>
        <w:tc>
          <w:tcPr>
            <w:tcW w:w="953" w:type="pct"/>
            <w:tcBorders>
              <w:top w:val="nil"/>
              <w:left w:val="nil"/>
              <w:bottom w:val="nil"/>
              <w:right w:val="nil"/>
            </w:tcBorders>
          </w:tcPr>
          <w:p w14:paraId="0DEB250C"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1.384***</w:t>
            </w:r>
          </w:p>
        </w:tc>
      </w:tr>
      <w:tr w:rsidR="004D0FCF" w:rsidRPr="00D1647D" w14:paraId="6B7AB3C9" w14:textId="77777777" w:rsidTr="00266215">
        <w:trPr>
          <w:jc w:val="center"/>
        </w:trPr>
        <w:tc>
          <w:tcPr>
            <w:tcW w:w="1243" w:type="pct"/>
            <w:tcBorders>
              <w:top w:val="nil"/>
              <w:left w:val="nil"/>
              <w:bottom w:val="nil"/>
              <w:right w:val="nil"/>
            </w:tcBorders>
          </w:tcPr>
          <w:p w14:paraId="39B7ADDB"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83" w:type="pct"/>
            <w:tcBorders>
              <w:top w:val="nil"/>
              <w:left w:val="nil"/>
              <w:bottom w:val="nil"/>
              <w:right w:val="nil"/>
            </w:tcBorders>
          </w:tcPr>
          <w:p w14:paraId="56956C32"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(0.045)</w:t>
            </w:r>
          </w:p>
        </w:tc>
        <w:tc>
          <w:tcPr>
            <w:tcW w:w="960" w:type="pct"/>
            <w:tcBorders>
              <w:top w:val="nil"/>
              <w:left w:val="nil"/>
              <w:bottom w:val="nil"/>
              <w:right w:val="single" w:sz="4" w:space="0" w:color="auto"/>
            </w:tcBorders>
          </w:tcPr>
          <w:p w14:paraId="3D649880"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(0.045)</w:t>
            </w:r>
          </w:p>
        </w:tc>
        <w:tc>
          <w:tcPr>
            <w:tcW w:w="960" w:type="pct"/>
            <w:tcBorders>
              <w:top w:val="nil"/>
              <w:left w:val="single" w:sz="4" w:space="0" w:color="auto"/>
              <w:bottom w:val="nil"/>
              <w:right w:val="nil"/>
            </w:tcBorders>
          </w:tcPr>
          <w:p w14:paraId="573B3446"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(0.06</w:t>
            </w:r>
            <w:r>
              <w:rPr>
                <w:rFonts w:ascii="Times New Roman" w:eastAsiaTheme="minorEastAsia" w:hAnsi="Times New Roman" w:cs="Times New Roman"/>
                <w:sz w:val="24"/>
                <w:szCs w:val="24"/>
              </w:rPr>
              <w:t>4</w:t>
            </w:r>
            <w:r w:rsidRPr="00D1647D">
              <w:rPr>
                <w:rFonts w:ascii="Times New Roman" w:eastAsiaTheme="minorEastAsia" w:hAnsi="Times New Roman" w:cs="Times New Roman"/>
                <w:sz w:val="24"/>
                <w:szCs w:val="24"/>
              </w:rPr>
              <w:t xml:space="preserve">) </w:t>
            </w:r>
          </w:p>
        </w:tc>
        <w:tc>
          <w:tcPr>
            <w:tcW w:w="953" w:type="pct"/>
            <w:tcBorders>
              <w:top w:val="nil"/>
              <w:left w:val="nil"/>
              <w:bottom w:val="nil"/>
              <w:right w:val="nil"/>
            </w:tcBorders>
          </w:tcPr>
          <w:p w14:paraId="1551501A"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(0.06</w:t>
            </w:r>
            <w:r>
              <w:rPr>
                <w:rFonts w:ascii="Times New Roman" w:eastAsiaTheme="minorEastAsia" w:hAnsi="Times New Roman" w:cs="Times New Roman"/>
                <w:sz w:val="24"/>
                <w:szCs w:val="24"/>
              </w:rPr>
              <w:t>3</w:t>
            </w:r>
            <w:r w:rsidRPr="00D1647D">
              <w:rPr>
                <w:rFonts w:ascii="Times New Roman" w:eastAsiaTheme="minorEastAsia" w:hAnsi="Times New Roman" w:cs="Times New Roman"/>
                <w:sz w:val="24"/>
                <w:szCs w:val="24"/>
              </w:rPr>
              <w:t>)</w:t>
            </w:r>
          </w:p>
        </w:tc>
      </w:tr>
      <w:tr w:rsidR="004D0FCF" w:rsidRPr="00D1647D" w14:paraId="640DD4ED" w14:textId="77777777" w:rsidTr="00266215">
        <w:trPr>
          <w:jc w:val="center"/>
        </w:trPr>
        <w:tc>
          <w:tcPr>
            <w:tcW w:w="1243" w:type="pct"/>
            <w:tcBorders>
              <w:top w:val="nil"/>
              <w:left w:val="nil"/>
              <w:bottom w:val="nil"/>
              <w:right w:val="nil"/>
            </w:tcBorders>
          </w:tcPr>
          <w:p w14:paraId="5D5004A7"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lnGDP Per Capita</w:t>
            </w:r>
          </w:p>
        </w:tc>
        <w:tc>
          <w:tcPr>
            <w:tcW w:w="883" w:type="pct"/>
            <w:tcBorders>
              <w:top w:val="nil"/>
              <w:left w:val="nil"/>
              <w:bottom w:val="nil"/>
              <w:right w:val="nil"/>
            </w:tcBorders>
          </w:tcPr>
          <w:p w14:paraId="61CF6464"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0.201**</w:t>
            </w:r>
          </w:p>
        </w:tc>
        <w:tc>
          <w:tcPr>
            <w:tcW w:w="960" w:type="pct"/>
            <w:tcBorders>
              <w:top w:val="nil"/>
              <w:left w:val="nil"/>
              <w:bottom w:val="nil"/>
              <w:right w:val="single" w:sz="4" w:space="0" w:color="auto"/>
            </w:tcBorders>
          </w:tcPr>
          <w:p w14:paraId="6C4B357B"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0.189**</w:t>
            </w:r>
          </w:p>
        </w:tc>
        <w:tc>
          <w:tcPr>
            <w:tcW w:w="960" w:type="pct"/>
            <w:tcBorders>
              <w:top w:val="nil"/>
              <w:left w:val="single" w:sz="4" w:space="0" w:color="auto"/>
              <w:bottom w:val="nil"/>
              <w:right w:val="nil"/>
            </w:tcBorders>
          </w:tcPr>
          <w:p w14:paraId="1C4F91C4"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1.223**</w:t>
            </w:r>
          </w:p>
        </w:tc>
        <w:tc>
          <w:tcPr>
            <w:tcW w:w="953" w:type="pct"/>
            <w:tcBorders>
              <w:top w:val="nil"/>
              <w:left w:val="nil"/>
              <w:bottom w:val="nil"/>
              <w:right w:val="nil"/>
            </w:tcBorders>
          </w:tcPr>
          <w:p w14:paraId="3397DD34"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1.208**</w:t>
            </w:r>
          </w:p>
        </w:tc>
      </w:tr>
      <w:tr w:rsidR="004D0FCF" w:rsidRPr="00D1647D" w14:paraId="631AB8F7" w14:textId="77777777" w:rsidTr="00266215">
        <w:trPr>
          <w:jc w:val="center"/>
        </w:trPr>
        <w:tc>
          <w:tcPr>
            <w:tcW w:w="1243" w:type="pct"/>
            <w:tcBorders>
              <w:top w:val="nil"/>
              <w:left w:val="nil"/>
              <w:bottom w:val="nil"/>
              <w:right w:val="nil"/>
            </w:tcBorders>
          </w:tcPr>
          <w:p w14:paraId="01AE7B6B"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83" w:type="pct"/>
            <w:tcBorders>
              <w:top w:val="nil"/>
              <w:left w:val="nil"/>
              <w:bottom w:val="nil"/>
              <w:right w:val="nil"/>
            </w:tcBorders>
          </w:tcPr>
          <w:p w14:paraId="1DC159E4"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(0.094)</w:t>
            </w:r>
          </w:p>
        </w:tc>
        <w:tc>
          <w:tcPr>
            <w:tcW w:w="960" w:type="pct"/>
            <w:tcBorders>
              <w:top w:val="nil"/>
              <w:left w:val="nil"/>
              <w:bottom w:val="nil"/>
              <w:right w:val="single" w:sz="4" w:space="0" w:color="auto"/>
            </w:tcBorders>
          </w:tcPr>
          <w:p w14:paraId="1DA24524"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(0.09</w:t>
            </w:r>
            <w:r>
              <w:rPr>
                <w:rFonts w:ascii="Times New Roman" w:eastAsiaTheme="minorEastAsia" w:hAnsi="Times New Roman" w:cs="Times New Roman"/>
                <w:sz w:val="24"/>
                <w:szCs w:val="24"/>
              </w:rPr>
              <w:t>5</w:t>
            </w:r>
            <w:r w:rsidRPr="00D1647D">
              <w:rPr>
                <w:rFonts w:ascii="Times New Roman" w:eastAsiaTheme="minorEastAsia" w:hAnsi="Times New Roman" w:cs="Times New Roman"/>
                <w:sz w:val="24"/>
                <w:szCs w:val="24"/>
              </w:rPr>
              <w:t>)</w:t>
            </w:r>
          </w:p>
        </w:tc>
        <w:tc>
          <w:tcPr>
            <w:tcW w:w="960" w:type="pct"/>
            <w:tcBorders>
              <w:top w:val="nil"/>
              <w:left w:val="single" w:sz="4" w:space="0" w:color="auto"/>
              <w:bottom w:val="nil"/>
              <w:right w:val="nil"/>
            </w:tcBorders>
          </w:tcPr>
          <w:p w14:paraId="7543413A"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(0.115)</w:t>
            </w:r>
          </w:p>
        </w:tc>
        <w:tc>
          <w:tcPr>
            <w:tcW w:w="953" w:type="pct"/>
            <w:tcBorders>
              <w:top w:val="nil"/>
              <w:left w:val="nil"/>
              <w:bottom w:val="nil"/>
              <w:right w:val="nil"/>
            </w:tcBorders>
          </w:tcPr>
          <w:p w14:paraId="302A5564"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(0.152)</w:t>
            </w:r>
          </w:p>
        </w:tc>
      </w:tr>
      <w:tr w:rsidR="004D0FCF" w:rsidRPr="00D1647D" w14:paraId="058DBF1A" w14:textId="77777777" w:rsidTr="00266215">
        <w:trPr>
          <w:jc w:val="center"/>
        </w:trPr>
        <w:tc>
          <w:tcPr>
            <w:tcW w:w="1243" w:type="pct"/>
            <w:tcBorders>
              <w:top w:val="nil"/>
              <w:left w:val="nil"/>
              <w:bottom w:val="nil"/>
              <w:right w:val="nil"/>
            </w:tcBorders>
          </w:tcPr>
          <w:p w14:paraId="1336BB31"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lnPopulation</w:t>
            </w:r>
          </w:p>
        </w:tc>
        <w:tc>
          <w:tcPr>
            <w:tcW w:w="883" w:type="pct"/>
            <w:tcBorders>
              <w:top w:val="nil"/>
              <w:left w:val="nil"/>
              <w:bottom w:val="nil"/>
              <w:right w:val="nil"/>
            </w:tcBorders>
          </w:tcPr>
          <w:p w14:paraId="35B80A03"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-0.610***</w:t>
            </w:r>
          </w:p>
        </w:tc>
        <w:tc>
          <w:tcPr>
            <w:tcW w:w="960" w:type="pct"/>
            <w:tcBorders>
              <w:top w:val="nil"/>
              <w:left w:val="nil"/>
              <w:bottom w:val="nil"/>
              <w:right w:val="single" w:sz="4" w:space="0" w:color="auto"/>
            </w:tcBorders>
          </w:tcPr>
          <w:p w14:paraId="7064EC4E"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-0.624***</w:t>
            </w:r>
          </w:p>
        </w:tc>
        <w:tc>
          <w:tcPr>
            <w:tcW w:w="960" w:type="pct"/>
            <w:tcBorders>
              <w:top w:val="nil"/>
              <w:left w:val="single" w:sz="4" w:space="0" w:color="auto"/>
              <w:bottom w:val="nil"/>
              <w:right w:val="nil"/>
            </w:tcBorders>
          </w:tcPr>
          <w:p w14:paraId="6ACA56A8"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0.543***</w:t>
            </w:r>
          </w:p>
        </w:tc>
        <w:tc>
          <w:tcPr>
            <w:tcW w:w="953" w:type="pct"/>
            <w:tcBorders>
              <w:top w:val="nil"/>
              <w:left w:val="nil"/>
              <w:bottom w:val="nil"/>
              <w:right w:val="nil"/>
            </w:tcBorders>
          </w:tcPr>
          <w:p w14:paraId="6F6B61A4"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0.536***</w:t>
            </w:r>
          </w:p>
        </w:tc>
      </w:tr>
      <w:tr w:rsidR="004D0FCF" w:rsidRPr="00D1647D" w14:paraId="197C0A3C" w14:textId="77777777" w:rsidTr="00266215">
        <w:trPr>
          <w:jc w:val="center"/>
        </w:trPr>
        <w:tc>
          <w:tcPr>
            <w:tcW w:w="1243" w:type="pct"/>
            <w:tcBorders>
              <w:top w:val="nil"/>
              <w:left w:val="nil"/>
              <w:bottom w:val="nil"/>
              <w:right w:val="nil"/>
            </w:tcBorders>
          </w:tcPr>
          <w:p w14:paraId="29E8F8ED"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83" w:type="pct"/>
            <w:tcBorders>
              <w:top w:val="nil"/>
              <w:left w:val="nil"/>
              <w:bottom w:val="nil"/>
              <w:right w:val="nil"/>
            </w:tcBorders>
          </w:tcPr>
          <w:p w14:paraId="69A26394"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(0.062)</w:t>
            </w:r>
          </w:p>
        </w:tc>
        <w:tc>
          <w:tcPr>
            <w:tcW w:w="960" w:type="pct"/>
            <w:tcBorders>
              <w:top w:val="nil"/>
              <w:left w:val="nil"/>
              <w:bottom w:val="nil"/>
              <w:right w:val="single" w:sz="4" w:space="0" w:color="auto"/>
            </w:tcBorders>
          </w:tcPr>
          <w:p w14:paraId="15D3098C"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(0.06</w:t>
            </w:r>
            <w:r>
              <w:rPr>
                <w:rFonts w:ascii="Times New Roman" w:eastAsiaTheme="minorEastAsia" w:hAnsi="Times New Roman" w:cs="Times New Roman"/>
                <w:sz w:val="24"/>
                <w:szCs w:val="24"/>
              </w:rPr>
              <w:t>3</w:t>
            </w:r>
            <w:r w:rsidRPr="00D1647D">
              <w:rPr>
                <w:rFonts w:ascii="Times New Roman" w:eastAsiaTheme="minorEastAsia" w:hAnsi="Times New Roman" w:cs="Times New Roman"/>
                <w:sz w:val="24"/>
                <w:szCs w:val="24"/>
              </w:rPr>
              <w:t>)</w:t>
            </w:r>
          </w:p>
        </w:tc>
        <w:tc>
          <w:tcPr>
            <w:tcW w:w="960" w:type="pct"/>
            <w:tcBorders>
              <w:top w:val="nil"/>
              <w:left w:val="single" w:sz="4" w:space="0" w:color="auto"/>
              <w:bottom w:val="nil"/>
              <w:right w:val="nil"/>
            </w:tcBorders>
          </w:tcPr>
          <w:p w14:paraId="5C21FF19"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(0.03</w:t>
            </w:r>
            <w:r>
              <w:rPr>
                <w:rFonts w:ascii="Times New Roman" w:eastAsiaTheme="minorEastAsia" w:hAnsi="Times New Roman" w:cs="Times New Roman"/>
                <w:sz w:val="24"/>
                <w:szCs w:val="24"/>
              </w:rPr>
              <w:t>4</w:t>
            </w:r>
            <w:r w:rsidRPr="00D1647D">
              <w:rPr>
                <w:rFonts w:ascii="Times New Roman" w:eastAsiaTheme="minorEastAsia" w:hAnsi="Times New Roman" w:cs="Times New Roman"/>
                <w:sz w:val="24"/>
                <w:szCs w:val="24"/>
              </w:rPr>
              <w:t>)</w:t>
            </w:r>
          </w:p>
        </w:tc>
        <w:tc>
          <w:tcPr>
            <w:tcW w:w="953" w:type="pct"/>
            <w:tcBorders>
              <w:top w:val="nil"/>
              <w:left w:val="nil"/>
              <w:bottom w:val="nil"/>
              <w:right w:val="nil"/>
            </w:tcBorders>
          </w:tcPr>
          <w:p w14:paraId="1F44479D"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(0.03</w:t>
            </w:r>
            <w:r>
              <w:rPr>
                <w:rFonts w:ascii="Times New Roman" w:eastAsiaTheme="minorEastAsia" w:hAnsi="Times New Roman" w:cs="Times New Roman"/>
                <w:sz w:val="24"/>
                <w:szCs w:val="24"/>
              </w:rPr>
              <w:t>4</w:t>
            </w:r>
            <w:r w:rsidRPr="00D1647D">
              <w:rPr>
                <w:rFonts w:ascii="Times New Roman" w:eastAsiaTheme="minorEastAsia" w:hAnsi="Times New Roman" w:cs="Times New Roman"/>
                <w:sz w:val="24"/>
                <w:szCs w:val="24"/>
              </w:rPr>
              <w:t>)</w:t>
            </w:r>
          </w:p>
        </w:tc>
      </w:tr>
      <w:tr w:rsidR="004D0FCF" w:rsidRPr="00D1647D" w14:paraId="78944BC4" w14:textId="77777777" w:rsidTr="00266215">
        <w:trPr>
          <w:jc w:val="center"/>
        </w:trPr>
        <w:tc>
          <w:tcPr>
            <w:tcW w:w="1243" w:type="pct"/>
            <w:tcBorders>
              <w:top w:val="nil"/>
              <w:left w:val="nil"/>
              <w:bottom w:val="nil"/>
              <w:right w:val="nil"/>
            </w:tcBorders>
          </w:tcPr>
          <w:p w14:paraId="46A15C1D"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lnAid Received</w:t>
            </w:r>
          </w:p>
        </w:tc>
        <w:tc>
          <w:tcPr>
            <w:tcW w:w="883" w:type="pct"/>
            <w:tcBorders>
              <w:top w:val="nil"/>
              <w:left w:val="nil"/>
              <w:bottom w:val="nil"/>
              <w:right w:val="nil"/>
            </w:tcBorders>
          </w:tcPr>
          <w:p w14:paraId="3757A6D8"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w:t>
            </w:r>
            <w:r>
              <w:rPr>
                <w:rFonts w:ascii="Times New Roman" w:eastAsiaTheme="minorEastAsia" w:hAnsi="Times New Roman" w:cs="Times New Roman"/>
                <w:sz w:val="24"/>
                <w:szCs w:val="24"/>
              </w:rPr>
              <w:t>90</w:t>
            </w:r>
            <w:r w:rsidRPr="00D1647D">
              <w:rPr>
                <w:rFonts w:ascii="Times New Roman" w:eastAsiaTheme="minorEastAsia" w:hAnsi="Times New Roman" w:cs="Times New Roman"/>
                <w:sz w:val="24"/>
                <w:szCs w:val="24"/>
              </w:rPr>
              <w:t>***</w:t>
            </w:r>
          </w:p>
        </w:tc>
        <w:tc>
          <w:tcPr>
            <w:tcW w:w="960" w:type="pct"/>
            <w:tcBorders>
              <w:top w:val="nil"/>
              <w:left w:val="nil"/>
              <w:bottom w:val="nil"/>
              <w:right w:val="single" w:sz="4" w:space="0" w:color="auto"/>
            </w:tcBorders>
          </w:tcPr>
          <w:p w14:paraId="38A86BEF"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-0.09</w:t>
            </w:r>
            <w:r>
              <w:rPr>
                <w:rFonts w:ascii="Times New Roman" w:eastAsiaTheme="minorEastAsia" w:hAnsi="Times New Roman" w:cs="Times New Roman"/>
                <w:sz w:val="24"/>
                <w:szCs w:val="24"/>
              </w:rPr>
              <w:t>4</w:t>
            </w:r>
            <w:r w:rsidRPr="00D1647D">
              <w:rPr>
                <w:rFonts w:ascii="Times New Roman" w:eastAsiaTheme="minorEastAsia" w:hAnsi="Times New Roman" w:cs="Times New Roman"/>
                <w:sz w:val="24"/>
                <w:szCs w:val="24"/>
              </w:rPr>
              <w:t>***</w:t>
            </w:r>
          </w:p>
        </w:tc>
        <w:tc>
          <w:tcPr>
            <w:tcW w:w="960" w:type="pct"/>
            <w:tcBorders>
              <w:top w:val="nil"/>
              <w:left w:val="single" w:sz="4" w:space="0" w:color="auto"/>
              <w:bottom w:val="nil"/>
              <w:right w:val="nil"/>
            </w:tcBorders>
          </w:tcPr>
          <w:p w14:paraId="304183E5"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0.914***</w:t>
            </w:r>
          </w:p>
        </w:tc>
        <w:tc>
          <w:tcPr>
            <w:tcW w:w="953" w:type="pct"/>
            <w:tcBorders>
              <w:top w:val="nil"/>
              <w:left w:val="nil"/>
              <w:bottom w:val="nil"/>
              <w:right w:val="nil"/>
            </w:tcBorders>
          </w:tcPr>
          <w:p w14:paraId="5C6DBA63"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0.910***</w:t>
            </w:r>
          </w:p>
        </w:tc>
      </w:tr>
      <w:tr w:rsidR="004D0FCF" w:rsidRPr="00D1647D" w14:paraId="3B7FD17A" w14:textId="77777777" w:rsidTr="00266215">
        <w:trPr>
          <w:jc w:val="center"/>
        </w:trPr>
        <w:tc>
          <w:tcPr>
            <w:tcW w:w="1243" w:type="pct"/>
            <w:tcBorders>
              <w:top w:val="nil"/>
              <w:left w:val="nil"/>
              <w:bottom w:val="nil"/>
              <w:right w:val="nil"/>
            </w:tcBorders>
          </w:tcPr>
          <w:p w14:paraId="6C2B9C4E"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83" w:type="pct"/>
            <w:tcBorders>
              <w:top w:val="nil"/>
              <w:left w:val="nil"/>
              <w:bottom w:val="nil"/>
              <w:right w:val="nil"/>
            </w:tcBorders>
          </w:tcPr>
          <w:p w14:paraId="60185126"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(0.020)</w:t>
            </w:r>
          </w:p>
        </w:tc>
        <w:tc>
          <w:tcPr>
            <w:tcW w:w="960" w:type="pct"/>
            <w:tcBorders>
              <w:top w:val="nil"/>
              <w:left w:val="nil"/>
              <w:bottom w:val="nil"/>
              <w:right w:val="single" w:sz="4" w:space="0" w:color="auto"/>
            </w:tcBorders>
          </w:tcPr>
          <w:p w14:paraId="1FEDFF8A"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(0.020)</w:t>
            </w:r>
          </w:p>
        </w:tc>
        <w:tc>
          <w:tcPr>
            <w:tcW w:w="960" w:type="pct"/>
            <w:tcBorders>
              <w:top w:val="nil"/>
              <w:left w:val="single" w:sz="4" w:space="0" w:color="auto"/>
              <w:bottom w:val="nil"/>
              <w:right w:val="nil"/>
            </w:tcBorders>
          </w:tcPr>
          <w:p w14:paraId="087117B8"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(0.01</w:t>
            </w:r>
            <w:r>
              <w:rPr>
                <w:rFonts w:ascii="Times New Roman" w:eastAsiaTheme="minorEastAsia" w:hAnsi="Times New Roman" w:cs="Times New Roman"/>
                <w:sz w:val="24"/>
                <w:szCs w:val="24"/>
              </w:rPr>
              <w:t>9</w:t>
            </w:r>
            <w:r w:rsidRPr="00D1647D">
              <w:rPr>
                <w:rFonts w:ascii="Times New Roman" w:eastAsiaTheme="minorEastAsia" w:hAnsi="Times New Roman" w:cs="Times New Roman"/>
                <w:sz w:val="24"/>
                <w:szCs w:val="24"/>
              </w:rPr>
              <w:t>)</w:t>
            </w:r>
          </w:p>
        </w:tc>
        <w:tc>
          <w:tcPr>
            <w:tcW w:w="953" w:type="pct"/>
            <w:tcBorders>
              <w:top w:val="nil"/>
              <w:left w:val="nil"/>
              <w:bottom w:val="nil"/>
              <w:right w:val="nil"/>
            </w:tcBorders>
          </w:tcPr>
          <w:p w14:paraId="75A7A55D"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(0.02</w:t>
            </w:r>
            <w:r>
              <w:rPr>
                <w:rFonts w:ascii="Times New Roman" w:eastAsiaTheme="minorEastAsia" w:hAnsi="Times New Roman" w:cs="Times New Roman"/>
                <w:sz w:val="24"/>
                <w:szCs w:val="24"/>
              </w:rPr>
              <w:t>9</w:t>
            </w:r>
            <w:r w:rsidRPr="00D1647D">
              <w:rPr>
                <w:rFonts w:ascii="Times New Roman" w:eastAsiaTheme="minorEastAsia" w:hAnsi="Times New Roman" w:cs="Times New Roman"/>
                <w:sz w:val="24"/>
                <w:szCs w:val="24"/>
              </w:rPr>
              <w:t>)</w:t>
            </w:r>
          </w:p>
        </w:tc>
      </w:tr>
      <w:tr w:rsidR="004D0FCF" w:rsidRPr="00D1647D" w14:paraId="5BC730FB" w14:textId="77777777" w:rsidTr="00266215">
        <w:trPr>
          <w:jc w:val="center"/>
        </w:trPr>
        <w:tc>
          <w:tcPr>
            <w:tcW w:w="1243" w:type="pct"/>
            <w:tcBorders>
              <w:top w:val="nil"/>
              <w:left w:val="nil"/>
              <w:bottom w:val="nil"/>
              <w:right w:val="nil"/>
            </w:tcBorders>
          </w:tcPr>
          <w:p w14:paraId="3194165B"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Third Party Presence</w:t>
            </w:r>
          </w:p>
        </w:tc>
        <w:tc>
          <w:tcPr>
            <w:tcW w:w="883" w:type="pct"/>
            <w:tcBorders>
              <w:top w:val="nil"/>
              <w:left w:val="nil"/>
              <w:bottom w:val="nil"/>
              <w:right w:val="nil"/>
            </w:tcBorders>
          </w:tcPr>
          <w:p w14:paraId="192A5D27"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-0.892***</w:t>
            </w:r>
          </w:p>
        </w:tc>
        <w:tc>
          <w:tcPr>
            <w:tcW w:w="960" w:type="pct"/>
            <w:tcBorders>
              <w:top w:val="nil"/>
              <w:left w:val="nil"/>
              <w:bottom w:val="nil"/>
              <w:right w:val="single" w:sz="4" w:space="0" w:color="auto"/>
            </w:tcBorders>
          </w:tcPr>
          <w:p w14:paraId="09446E93"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-0.837***</w:t>
            </w:r>
          </w:p>
        </w:tc>
        <w:tc>
          <w:tcPr>
            <w:tcW w:w="960" w:type="pct"/>
            <w:tcBorders>
              <w:top w:val="nil"/>
              <w:left w:val="single" w:sz="4" w:space="0" w:color="auto"/>
              <w:bottom w:val="nil"/>
              <w:right w:val="nil"/>
            </w:tcBorders>
          </w:tcPr>
          <w:p w14:paraId="2152A2DE"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0.410***</w:t>
            </w:r>
          </w:p>
        </w:tc>
        <w:tc>
          <w:tcPr>
            <w:tcW w:w="953" w:type="pct"/>
            <w:tcBorders>
              <w:top w:val="nil"/>
              <w:left w:val="nil"/>
              <w:bottom w:val="nil"/>
              <w:right w:val="nil"/>
            </w:tcBorders>
          </w:tcPr>
          <w:p w14:paraId="7A3EF197"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0.433***</w:t>
            </w:r>
          </w:p>
        </w:tc>
      </w:tr>
      <w:tr w:rsidR="004D0FCF" w:rsidRPr="00D1647D" w14:paraId="2A7383A0" w14:textId="77777777" w:rsidTr="00266215">
        <w:trPr>
          <w:jc w:val="center"/>
        </w:trPr>
        <w:tc>
          <w:tcPr>
            <w:tcW w:w="1243" w:type="pct"/>
            <w:tcBorders>
              <w:top w:val="nil"/>
              <w:left w:val="nil"/>
              <w:bottom w:val="nil"/>
              <w:right w:val="nil"/>
            </w:tcBorders>
          </w:tcPr>
          <w:p w14:paraId="03AEE23B"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83" w:type="pct"/>
            <w:tcBorders>
              <w:top w:val="nil"/>
              <w:left w:val="nil"/>
              <w:bottom w:val="nil"/>
              <w:right w:val="nil"/>
            </w:tcBorders>
          </w:tcPr>
          <w:p w14:paraId="6729AB20"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(0.203)</w:t>
            </w:r>
          </w:p>
        </w:tc>
        <w:tc>
          <w:tcPr>
            <w:tcW w:w="960" w:type="pct"/>
            <w:tcBorders>
              <w:top w:val="nil"/>
              <w:left w:val="nil"/>
              <w:bottom w:val="nil"/>
              <w:right w:val="single" w:sz="4" w:space="0" w:color="auto"/>
            </w:tcBorders>
          </w:tcPr>
          <w:p w14:paraId="4496E595"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(0.206)</w:t>
            </w:r>
          </w:p>
        </w:tc>
        <w:tc>
          <w:tcPr>
            <w:tcW w:w="960" w:type="pct"/>
            <w:tcBorders>
              <w:top w:val="nil"/>
              <w:left w:val="single" w:sz="4" w:space="0" w:color="auto"/>
              <w:bottom w:val="nil"/>
              <w:right w:val="nil"/>
            </w:tcBorders>
          </w:tcPr>
          <w:p w14:paraId="6BF261BD"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(0.083)</w:t>
            </w:r>
          </w:p>
        </w:tc>
        <w:tc>
          <w:tcPr>
            <w:tcW w:w="953" w:type="pct"/>
            <w:tcBorders>
              <w:top w:val="nil"/>
              <w:left w:val="nil"/>
              <w:bottom w:val="nil"/>
              <w:right w:val="nil"/>
            </w:tcBorders>
          </w:tcPr>
          <w:p w14:paraId="4C9C7CFB"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(0.089)</w:t>
            </w:r>
          </w:p>
        </w:tc>
      </w:tr>
      <w:tr w:rsidR="004D0FCF" w:rsidRPr="00D1647D" w14:paraId="5E53B537" w14:textId="77777777" w:rsidTr="00266215">
        <w:trPr>
          <w:jc w:val="center"/>
        </w:trPr>
        <w:tc>
          <w:tcPr>
            <w:tcW w:w="1243" w:type="pct"/>
            <w:tcBorders>
              <w:top w:val="nil"/>
              <w:left w:val="nil"/>
              <w:bottom w:val="nil"/>
              <w:right w:val="nil"/>
            </w:tcBorders>
          </w:tcPr>
          <w:p w14:paraId="2C8D4DD2"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Cold War</w:t>
            </w:r>
          </w:p>
        </w:tc>
        <w:tc>
          <w:tcPr>
            <w:tcW w:w="883" w:type="pct"/>
            <w:tcBorders>
              <w:top w:val="nil"/>
              <w:left w:val="nil"/>
              <w:bottom w:val="nil"/>
              <w:right w:val="nil"/>
            </w:tcBorders>
          </w:tcPr>
          <w:p w14:paraId="43EF29B6"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0.717***</w:t>
            </w:r>
          </w:p>
        </w:tc>
        <w:tc>
          <w:tcPr>
            <w:tcW w:w="960" w:type="pct"/>
            <w:tcBorders>
              <w:top w:val="nil"/>
              <w:left w:val="nil"/>
              <w:bottom w:val="nil"/>
              <w:right w:val="single" w:sz="4" w:space="0" w:color="auto"/>
            </w:tcBorders>
          </w:tcPr>
          <w:p w14:paraId="491FFC57"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0.748***</w:t>
            </w:r>
          </w:p>
        </w:tc>
        <w:tc>
          <w:tcPr>
            <w:tcW w:w="960" w:type="pct"/>
            <w:tcBorders>
              <w:top w:val="nil"/>
              <w:left w:val="single" w:sz="4" w:space="0" w:color="auto"/>
              <w:bottom w:val="nil"/>
              <w:right w:val="nil"/>
            </w:tcBorders>
          </w:tcPr>
          <w:p w14:paraId="6B206B8C"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2.048***</w:t>
            </w:r>
          </w:p>
        </w:tc>
        <w:tc>
          <w:tcPr>
            <w:tcW w:w="953" w:type="pct"/>
            <w:tcBorders>
              <w:top w:val="nil"/>
              <w:left w:val="nil"/>
              <w:bottom w:val="nil"/>
              <w:right w:val="nil"/>
            </w:tcBorders>
          </w:tcPr>
          <w:p w14:paraId="55CAC0CF"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2.112***</w:t>
            </w:r>
          </w:p>
        </w:tc>
      </w:tr>
      <w:tr w:rsidR="004D0FCF" w:rsidRPr="00D1647D" w14:paraId="3B65DDF1" w14:textId="77777777" w:rsidTr="00266215">
        <w:trPr>
          <w:jc w:val="center"/>
        </w:trPr>
        <w:tc>
          <w:tcPr>
            <w:tcW w:w="1243" w:type="pct"/>
            <w:tcBorders>
              <w:top w:val="nil"/>
              <w:left w:val="nil"/>
              <w:bottom w:val="nil"/>
              <w:right w:val="nil"/>
            </w:tcBorders>
          </w:tcPr>
          <w:p w14:paraId="4C5BEE06"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83" w:type="pct"/>
            <w:tcBorders>
              <w:top w:val="nil"/>
              <w:left w:val="nil"/>
              <w:bottom w:val="nil"/>
              <w:right w:val="nil"/>
            </w:tcBorders>
          </w:tcPr>
          <w:p w14:paraId="7DC73D5C"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(0.174)</w:t>
            </w:r>
          </w:p>
        </w:tc>
        <w:tc>
          <w:tcPr>
            <w:tcW w:w="960" w:type="pct"/>
            <w:tcBorders>
              <w:top w:val="nil"/>
              <w:left w:val="nil"/>
              <w:bottom w:val="nil"/>
              <w:right w:val="single" w:sz="4" w:space="0" w:color="auto"/>
            </w:tcBorders>
          </w:tcPr>
          <w:p w14:paraId="5F89E2D0"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(0.177)</w:t>
            </w:r>
          </w:p>
        </w:tc>
        <w:tc>
          <w:tcPr>
            <w:tcW w:w="960" w:type="pct"/>
            <w:tcBorders>
              <w:top w:val="nil"/>
              <w:left w:val="single" w:sz="4" w:space="0" w:color="auto"/>
              <w:bottom w:val="nil"/>
              <w:right w:val="nil"/>
            </w:tcBorders>
          </w:tcPr>
          <w:p w14:paraId="47CF3116"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(0.356)</w:t>
            </w:r>
          </w:p>
        </w:tc>
        <w:tc>
          <w:tcPr>
            <w:tcW w:w="953" w:type="pct"/>
            <w:tcBorders>
              <w:top w:val="nil"/>
              <w:left w:val="nil"/>
              <w:bottom w:val="nil"/>
              <w:right w:val="nil"/>
            </w:tcBorders>
          </w:tcPr>
          <w:p w14:paraId="729AE591"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(0.375)</w:t>
            </w:r>
          </w:p>
        </w:tc>
      </w:tr>
      <w:tr w:rsidR="004D0FCF" w:rsidRPr="00D1647D" w14:paraId="69EBF149" w14:textId="77777777" w:rsidTr="00266215">
        <w:trPr>
          <w:jc w:val="center"/>
        </w:trPr>
        <w:tc>
          <w:tcPr>
            <w:tcW w:w="1243" w:type="pct"/>
            <w:tcBorders>
              <w:top w:val="nil"/>
              <w:left w:val="nil"/>
              <w:bottom w:val="nil"/>
              <w:right w:val="nil"/>
            </w:tcBorders>
          </w:tcPr>
          <w:p w14:paraId="4E00408A"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83" w:type="pct"/>
            <w:tcBorders>
              <w:top w:val="nil"/>
              <w:left w:val="nil"/>
              <w:bottom w:val="nil"/>
              <w:right w:val="nil"/>
            </w:tcBorders>
          </w:tcPr>
          <w:p w14:paraId="7AB8CDBD"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960" w:type="pct"/>
            <w:tcBorders>
              <w:top w:val="nil"/>
              <w:left w:val="nil"/>
              <w:bottom w:val="nil"/>
              <w:right w:val="single" w:sz="4" w:space="0" w:color="auto"/>
            </w:tcBorders>
          </w:tcPr>
          <w:p w14:paraId="1EB9C32C"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960" w:type="pct"/>
            <w:tcBorders>
              <w:top w:val="nil"/>
              <w:left w:val="single" w:sz="4" w:space="0" w:color="auto"/>
              <w:bottom w:val="nil"/>
              <w:right w:val="nil"/>
            </w:tcBorders>
          </w:tcPr>
          <w:p w14:paraId="57813E08"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953" w:type="pct"/>
            <w:tcBorders>
              <w:top w:val="nil"/>
              <w:left w:val="nil"/>
              <w:bottom w:val="nil"/>
              <w:right w:val="nil"/>
            </w:tcBorders>
          </w:tcPr>
          <w:p w14:paraId="1435AAF3"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4D0FCF" w:rsidRPr="00D1647D" w14:paraId="35E5563D" w14:textId="77777777" w:rsidTr="00266215">
        <w:trPr>
          <w:jc w:val="center"/>
        </w:trPr>
        <w:tc>
          <w:tcPr>
            <w:tcW w:w="1243" w:type="pct"/>
            <w:tcBorders>
              <w:top w:val="nil"/>
              <w:left w:val="nil"/>
              <w:bottom w:val="nil"/>
              <w:right w:val="nil"/>
            </w:tcBorders>
          </w:tcPr>
          <w:p w14:paraId="1B946287"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83" w:type="pct"/>
            <w:tcBorders>
              <w:top w:val="nil"/>
              <w:left w:val="nil"/>
              <w:bottom w:val="nil"/>
              <w:right w:val="nil"/>
            </w:tcBorders>
          </w:tcPr>
          <w:p w14:paraId="269482D3"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960" w:type="pct"/>
            <w:tcBorders>
              <w:top w:val="nil"/>
              <w:left w:val="nil"/>
              <w:bottom w:val="nil"/>
              <w:right w:val="single" w:sz="4" w:space="0" w:color="auto"/>
            </w:tcBorders>
          </w:tcPr>
          <w:p w14:paraId="2A6BB1D2"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960" w:type="pct"/>
            <w:tcBorders>
              <w:top w:val="nil"/>
              <w:left w:val="single" w:sz="4" w:space="0" w:color="auto"/>
              <w:bottom w:val="nil"/>
              <w:right w:val="nil"/>
            </w:tcBorders>
          </w:tcPr>
          <w:p w14:paraId="00917E9D"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953" w:type="pct"/>
            <w:tcBorders>
              <w:top w:val="nil"/>
              <w:left w:val="nil"/>
              <w:bottom w:val="nil"/>
              <w:right w:val="nil"/>
            </w:tcBorders>
          </w:tcPr>
          <w:p w14:paraId="68B2FEC9"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4D0FCF" w:rsidRPr="00D1647D" w14:paraId="5F43827F" w14:textId="77777777" w:rsidTr="00266215">
        <w:tblPrEx>
          <w:tblBorders>
            <w:bottom w:val="single" w:sz="6" w:space="0" w:color="auto"/>
          </w:tblBorders>
        </w:tblPrEx>
        <w:trPr>
          <w:jc w:val="center"/>
        </w:trPr>
        <w:tc>
          <w:tcPr>
            <w:tcW w:w="1243" w:type="pct"/>
            <w:tcBorders>
              <w:top w:val="nil"/>
              <w:left w:val="nil"/>
              <w:bottom w:val="single" w:sz="4" w:space="0" w:color="auto"/>
              <w:right w:val="nil"/>
            </w:tcBorders>
          </w:tcPr>
          <w:p w14:paraId="3A2A32B5"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Observations</w:t>
            </w:r>
          </w:p>
        </w:tc>
        <w:tc>
          <w:tcPr>
            <w:tcW w:w="883" w:type="pct"/>
            <w:tcBorders>
              <w:top w:val="nil"/>
              <w:left w:val="nil"/>
              <w:bottom w:val="single" w:sz="4" w:space="0" w:color="auto"/>
              <w:right w:val="nil"/>
            </w:tcBorders>
          </w:tcPr>
          <w:p w14:paraId="7FE82DB4"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3,881</w:t>
            </w:r>
          </w:p>
        </w:tc>
        <w:tc>
          <w:tcPr>
            <w:tcW w:w="960" w:type="pct"/>
            <w:tcBorders>
              <w:top w:val="nil"/>
              <w:left w:val="nil"/>
              <w:bottom w:val="single" w:sz="4" w:space="0" w:color="auto"/>
              <w:right w:val="single" w:sz="4" w:space="0" w:color="auto"/>
            </w:tcBorders>
          </w:tcPr>
          <w:p w14:paraId="092E5E6F"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3,827</w:t>
            </w:r>
          </w:p>
        </w:tc>
        <w:tc>
          <w:tcPr>
            <w:tcW w:w="960" w:type="pct"/>
            <w:tcBorders>
              <w:top w:val="nil"/>
              <w:left w:val="single" w:sz="4" w:space="0" w:color="auto"/>
              <w:bottom w:val="single" w:sz="4" w:space="0" w:color="auto"/>
              <w:right w:val="nil"/>
            </w:tcBorders>
          </w:tcPr>
          <w:p w14:paraId="52E98E88"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3,881</w:t>
            </w:r>
          </w:p>
        </w:tc>
        <w:tc>
          <w:tcPr>
            <w:tcW w:w="953" w:type="pct"/>
            <w:tcBorders>
              <w:top w:val="nil"/>
              <w:left w:val="nil"/>
              <w:bottom w:val="single" w:sz="4" w:space="0" w:color="auto"/>
              <w:right w:val="nil"/>
            </w:tcBorders>
          </w:tcPr>
          <w:p w14:paraId="650DD8D0"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3,827</w:t>
            </w:r>
          </w:p>
        </w:tc>
      </w:tr>
      <w:tr w:rsidR="004D0FCF" w:rsidRPr="00D1647D" w14:paraId="3B56E1AE" w14:textId="77777777" w:rsidTr="00266215">
        <w:tblPrEx>
          <w:tblBorders>
            <w:bottom w:val="single" w:sz="6" w:space="0" w:color="auto"/>
          </w:tblBorders>
        </w:tblPrEx>
        <w:trPr>
          <w:jc w:val="center"/>
        </w:trPr>
        <w:tc>
          <w:tcPr>
            <w:tcW w:w="1243" w:type="pct"/>
            <w:tcBorders>
              <w:top w:val="single" w:sz="4" w:space="0" w:color="auto"/>
              <w:left w:val="nil"/>
              <w:bottom w:val="nil"/>
              <w:right w:val="nil"/>
            </w:tcBorders>
          </w:tcPr>
          <w:p w14:paraId="3BF2214C"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AIC</w:t>
            </w:r>
          </w:p>
        </w:tc>
        <w:tc>
          <w:tcPr>
            <w:tcW w:w="883" w:type="pct"/>
            <w:tcBorders>
              <w:top w:val="single" w:sz="4" w:space="0" w:color="auto"/>
              <w:left w:val="nil"/>
              <w:bottom w:val="nil"/>
              <w:right w:val="nil"/>
            </w:tcBorders>
          </w:tcPr>
          <w:p w14:paraId="52F42E4F"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13674.1</w:t>
            </w:r>
          </w:p>
        </w:tc>
        <w:tc>
          <w:tcPr>
            <w:tcW w:w="960" w:type="pct"/>
            <w:tcBorders>
              <w:top w:val="single" w:sz="4" w:space="0" w:color="auto"/>
              <w:left w:val="nil"/>
              <w:bottom w:val="nil"/>
              <w:right w:val="single" w:sz="4" w:space="0" w:color="auto"/>
            </w:tcBorders>
          </w:tcPr>
          <w:p w14:paraId="7CA17466"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13424.6</w:t>
            </w:r>
          </w:p>
        </w:tc>
        <w:tc>
          <w:tcPr>
            <w:tcW w:w="960" w:type="pct"/>
            <w:tcBorders>
              <w:top w:val="single" w:sz="4" w:space="0" w:color="auto"/>
              <w:left w:val="single" w:sz="4" w:space="0" w:color="auto"/>
              <w:bottom w:val="nil"/>
              <w:right w:val="nil"/>
            </w:tcBorders>
          </w:tcPr>
          <w:p w14:paraId="58FB55E1"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13674.1</w:t>
            </w:r>
          </w:p>
        </w:tc>
        <w:tc>
          <w:tcPr>
            <w:tcW w:w="953" w:type="pct"/>
            <w:tcBorders>
              <w:top w:val="single" w:sz="4" w:space="0" w:color="auto"/>
              <w:left w:val="nil"/>
              <w:bottom w:val="nil"/>
              <w:right w:val="nil"/>
            </w:tcBorders>
          </w:tcPr>
          <w:p w14:paraId="3D1A7713"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13424.6</w:t>
            </w:r>
          </w:p>
        </w:tc>
      </w:tr>
      <w:tr w:rsidR="004D0FCF" w:rsidRPr="00D1647D" w14:paraId="1C23C6EF" w14:textId="77777777" w:rsidTr="00266215">
        <w:tblPrEx>
          <w:tblBorders>
            <w:bottom w:val="single" w:sz="6" w:space="0" w:color="auto"/>
          </w:tblBorders>
        </w:tblPrEx>
        <w:trPr>
          <w:jc w:val="center"/>
        </w:trPr>
        <w:tc>
          <w:tcPr>
            <w:tcW w:w="1243" w:type="pct"/>
            <w:tcBorders>
              <w:top w:val="nil"/>
              <w:left w:val="nil"/>
              <w:bottom w:val="single" w:sz="6" w:space="0" w:color="auto"/>
              <w:right w:val="nil"/>
            </w:tcBorders>
          </w:tcPr>
          <w:p w14:paraId="0F1C9885" w14:textId="77777777" w:rsidR="004D0FCF" w:rsidRPr="00D1647D" w:rsidRDefault="004D0FCF" w:rsidP="0000373C">
            <w:pPr>
              <w:widowControl w:val="0"/>
              <w:autoSpaceDE w:val="0"/>
              <w:autoSpaceDN w:val="0"/>
              <w:adjustRightInd w:val="0"/>
              <w:spacing w:after="0" w:line="240" w:lineRule="auto"/>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BIC</w:t>
            </w:r>
          </w:p>
        </w:tc>
        <w:tc>
          <w:tcPr>
            <w:tcW w:w="883" w:type="pct"/>
            <w:tcBorders>
              <w:top w:val="nil"/>
              <w:left w:val="nil"/>
              <w:bottom w:val="single" w:sz="6" w:space="0" w:color="auto"/>
              <w:right w:val="nil"/>
            </w:tcBorders>
          </w:tcPr>
          <w:p w14:paraId="5713E4A8"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13774.3</w:t>
            </w:r>
          </w:p>
        </w:tc>
        <w:tc>
          <w:tcPr>
            <w:tcW w:w="960" w:type="pct"/>
            <w:tcBorders>
              <w:top w:val="nil"/>
              <w:left w:val="nil"/>
              <w:bottom w:val="single" w:sz="6" w:space="0" w:color="auto"/>
              <w:right w:val="single" w:sz="4" w:space="0" w:color="auto"/>
            </w:tcBorders>
          </w:tcPr>
          <w:p w14:paraId="3137DFAB"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13530.9</w:t>
            </w:r>
          </w:p>
        </w:tc>
        <w:tc>
          <w:tcPr>
            <w:tcW w:w="960" w:type="pct"/>
            <w:tcBorders>
              <w:top w:val="nil"/>
              <w:left w:val="single" w:sz="4" w:space="0" w:color="auto"/>
              <w:bottom w:val="single" w:sz="6" w:space="0" w:color="auto"/>
              <w:right w:val="nil"/>
            </w:tcBorders>
          </w:tcPr>
          <w:p w14:paraId="478C6668"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13774.3</w:t>
            </w:r>
          </w:p>
        </w:tc>
        <w:tc>
          <w:tcPr>
            <w:tcW w:w="953" w:type="pct"/>
            <w:tcBorders>
              <w:top w:val="nil"/>
              <w:left w:val="nil"/>
              <w:bottom w:val="single" w:sz="6" w:space="0" w:color="auto"/>
              <w:right w:val="nil"/>
            </w:tcBorders>
          </w:tcPr>
          <w:p w14:paraId="704181F7" w14:textId="77777777" w:rsidR="004D0FCF" w:rsidRPr="00D1647D" w:rsidRDefault="004D0FCF" w:rsidP="0000373C">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1647D">
              <w:rPr>
                <w:rFonts w:ascii="Times New Roman" w:eastAsiaTheme="minorEastAsia" w:hAnsi="Times New Roman" w:cs="Times New Roman"/>
                <w:sz w:val="24"/>
                <w:szCs w:val="24"/>
              </w:rPr>
              <w:t>13530.9</w:t>
            </w:r>
          </w:p>
        </w:tc>
      </w:tr>
    </w:tbl>
    <w:p w14:paraId="3AA90FD9" w14:textId="4B3A58D0" w:rsidR="00F83580" w:rsidRDefault="00F83580" w:rsidP="00F8358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second model replicates the base model and adds the economic-based political shock variable, indicating whether a political shock has occurred. This variable is also lagged. </w:t>
      </w:r>
    </w:p>
    <w:p w14:paraId="076B53B4" w14:textId="01FC8C4C" w:rsidR="004B7C2A" w:rsidRPr="0008081A" w:rsidRDefault="00880649" w:rsidP="004B7C2A">
      <w:pPr>
        <w:spacing w:line="480" w:lineRule="auto"/>
        <w:ind w:firstLine="720"/>
        <w:rPr>
          <w:rFonts w:ascii="Times New Roman" w:hAnsi="Times New Roman" w:cs="Times New Roman"/>
          <w:sz w:val="24"/>
          <w:szCs w:val="24"/>
        </w:rPr>
      </w:pPr>
      <w:r>
        <w:rPr>
          <w:rFonts w:ascii="Times New Roman" w:hAnsi="Times New Roman" w:cs="Times New Roman"/>
          <w:sz w:val="24"/>
          <w:szCs w:val="24"/>
        </w:rPr>
        <w:t>Since the dependent variable of interest</w:t>
      </w:r>
      <w:r w:rsidR="00E45E40">
        <w:rPr>
          <w:rFonts w:ascii="Times New Roman" w:hAnsi="Times New Roman" w:cs="Times New Roman"/>
          <w:sz w:val="24"/>
          <w:szCs w:val="24"/>
        </w:rPr>
        <w:t>—physical integrity rights—is ordinal, we use an ordered logistic regression, including clustered robust standard errors as the observations are independent across countries, but not within them (</w:t>
      </w:r>
      <w:bookmarkStart w:id="13" w:name="_Hlk76113063"/>
      <w:r w:rsidR="00E45E40">
        <w:rPr>
          <w:rFonts w:ascii="Times New Roman" w:hAnsi="Times New Roman" w:cs="Times New Roman"/>
          <w:sz w:val="24"/>
          <w:szCs w:val="24"/>
        </w:rPr>
        <w:t>Long 1997, Cameron and Trivedi 2009</w:t>
      </w:r>
      <w:bookmarkEnd w:id="13"/>
      <w:r w:rsidR="00E45E40">
        <w:rPr>
          <w:rFonts w:ascii="Times New Roman" w:hAnsi="Times New Roman" w:cs="Times New Roman"/>
          <w:sz w:val="24"/>
          <w:szCs w:val="24"/>
        </w:rPr>
        <w:t xml:space="preserve">). </w:t>
      </w:r>
      <w:r w:rsidR="00A35FE6">
        <w:rPr>
          <w:rFonts w:ascii="Times New Roman" w:hAnsi="Times New Roman" w:cs="Times New Roman"/>
          <w:sz w:val="24"/>
          <w:szCs w:val="24"/>
        </w:rPr>
        <w:t>We present the results in two panels in the table; the first panel shows the results of the regression while the second panel show the odds ratios for a clearer interpretation of the regression results.</w:t>
      </w:r>
      <w:r w:rsidR="00EB4EFD">
        <w:rPr>
          <w:rFonts w:ascii="Times New Roman" w:hAnsi="Times New Roman" w:cs="Times New Roman"/>
          <w:sz w:val="24"/>
          <w:szCs w:val="24"/>
        </w:rPr>
        <w:t xml:space="preserve"> The unit of analysis in all models is the </w:t>
      </w:r>
      <w:r w:rsidR="00767EB8">
        <w:rPr>
          <w:rFonts w:ascii="Times New Roman" w:hAnsi="Times New Roman" w:cs="Times New Roman"/>
          <w:sz w:val="24"/>
          <w:szCs w:val="24"/>
        </w:rPr>
        <w:t>country-</w:t>
      </w:r>
      <w:r w:rsidR="00EB4EFD">
        <w:rPr>
          <w:rFonts w:ascii="Times New Roman" w:hAnsi="Times New Roman" w:cs="Times New Roman"/>
          <w:sz w:val="24"/>
          <w:szCs w:val="24"/>
        </w:rPr>
        <w:t>year.</w:t>
      </w:r>
      <w:r w:rsidR="00E45E40">
        <w:rPr>
          <w:rFonts w:ascii="Times New Roman" w:hAnsi="Times New Roman" w:cs="Times New Roman"/>
          <w:sz w:val="24"/>
          <w:szCs w:val="24"/>
        </w:rPr>
        <w:t xml:space="preserve"> </w:t>
      </w:r>
      <w:r w:rsidR="00262B65">
        <w:rPr>
          <w:rFonts w:ascii="Times New Roman" w:hAnsi="Times New Roman" w:cs="Times New Roman"/>
          <w:sz w:val="24"/>
          <w:szCs w:val="24"/>
        </w:rPr>
        <w:t>The</w:t>
      </w:r>
      <w:r w:rsidR="004B6D76">
        <w:rPr>
          <w:rFonts w:ascii="Times New Roman" w:hAnsi="Times New Roman" w:cs="Times New Roman"/>
          <w:sz w:val="24"/>
          <w:szCs w:val="24"/>
        </w:rPr>
        <w:t xml:space="preserve"> negative coefficients </w:t>
      </w:r>
      <w:r w:rsidR="00262B65">
        <w:rPr>
          <w:rFonts w:ascii="Times New Roman" w:hAnsi="Times New Roman" w:cs="Times New Roman"/>
          <w:sz w:val="24"/>
          <w:szCs w:val="24"/>
        </w:rPr>
        <w:t xml:space="preserve">in the first panel </w:t>
      </w:r>
      <w:r w:rsidR="004B6D76">
        <w:rPr>
          <w:rFonts w:ascii="Times New Roman" w:hAnsi="Times New Roman" w:cs="Times New Roman"/>
          <w:sz w:val="24"/>
          <w:szCs w:val="24"/>
        </w:rPr>
        <w:t>reflect higher levels of repression and positive values indicate the converse.</w:t>
      </w:r>
    </w:p>
    <w:p w14:paraId="22068CA3" w14:textId="75ACAAA3" w:rsidR="003C46FE" w:rsidRDefault="003C46FE" w:rsidP="003C46FE">
      <w:pPr>
        <w:spacing w:line="480" w:lineRule="auto"/>
        <w:ind w:firstLine="720"/>
        <w:rPr>
          <w:rFonts w:ascii="Times New Roman" w:hAnsi="Times New Roman" w:cs="Times New Roman"/>
          <w:sz w:val="24"/>
          <w:szCs w:val="24"/>
        </w:rPr>
      </w:pPr>
      <w:bookmarkStart w:id="14" w:name="_Hlk76112229"/>
      <w:r>
        <w:rPr>
          <w:rFonts w:ascii="Times New Roman" w:hAnsi="Times New Roman" w:cs="Times New Roman"/>
          <w:sz w:val="24"/>
          <w:szCs w:val="24"/>
        </w:rPr>
        <w:t>As the base model in Table 2 illustrates, all the standard predictors of levels of human rights behave consistently with the extant literature. Neighborhood unrest, internal unrest, population size, aid received, and third-party presence are—as expected—correlate with higher levels of repression, while executive constraints, the Cold War,</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and GDP/capita correlate with lower levels of repression. When we add the political shock variable to the base model (Shock Model, Panel 1), consistent with our </w:t>
      </w:r>
      <w:r w:rsidR="00366EFC">
        <w:rPr>
          <w:rFonts w:ascii="Times New Roman" w:hAnsi="Times New Roman" w:cs="Times New Roman"/>
          <w:sz w:val="24"/>
          <w:szCs w:val="24"/>
        </w:rPr>
        <w:t>prediction</w:t>
      </w:r>
      <w:r>
        <w:rPr>
          <w:rFonts w:ascii="Times New Roman" w:hAnsi="Times New Roman" w:cs="Times New Roman"/>
          <w:sz w:val="24"/>
          <w:szCs w:val="24"/>
        </w:rPr>
        <w:t xml:space="preserve">, the negative value produced indicates that political shocks are significantly associated with higher levels of human rights repression.   </w:t>
      </w:r>
    </w:p>
    <w:p w14:paraId="17D3A1D4" w14:textId="6424C703" w:rsidR="00822482" w:rsidRDefault="00822482" w:rsidP="008224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Apart from statistical significance, how much does the political shock variable add to this multicausal accounting for human rights levels across states? To answer this question, we restructure the models to create proportional odds ratios that can be utilized for the type of ordinal data that constitutes the human rights index. This transformation is represented in Panel </w:t>
      </w:r>
      <w:r>
        <w:rPr>
          <w:rFonts w:ascii="Times New Roman" w:hAnsi="Times New Roman" w:cs="Times New Roman"/>
          <w:sz w:val="24"/>
          <w:szCs w:val="24"/>
        </w:rPr>
        <w:lastRenderedPageBreak/>
        <w:t xml:space="preserve">B of Table 2. It suggests the following impact: with all other independent variables in the model held constant, the political shock variable accounts for a 44.5% </w:t>
      </w:r>
      <w:r w:rsidR="00B0215D">
        <w:rPr>
          <w:rFonts w:ascii="Times New Roman" w:hAnsi="Times New Roman" w:cs="Times New Roman"/>
          <w:sz w:val="24"/>
          <w:szCs w:val="24"/>
        </w:rPr>
        <w:t xml:space="preserve">negative </w:t>
      </w:r>
      <w:r>
        <w:rPr>
          <w:rFonts w:ascii="Times New Roman" w:hAnsi="Times New Roman" w:cs="Times New Roman"/>
          <w:sz w:val="24"/>
          <w:szCs w:val="24"/>
        </w:rPr>
        <w:t>change in the odds that a state is in the highest category of human rights protections</w:t>
      </w:r>
      <w:r w:rsidR="00B0215D">
        <w:rPr>
          <w:rFonts w:ascii="Times New Roman" w:hAnsi="Times New Roman" w:cs="Times New Roman"/>
          <w:sz w:val="24"/>
          <w:szCs w:val="24"/>
        </w:rPr>
        <w:t>,</w:t>
      </w:r>
      <w:r>
        <w:rPr>
          <w:rFonts w:ascii="Times New Roman" w:hAnsi="Times New Roman" w:cs="Times New Roman"/>
          <w:sz w:val="24"/>
          <w:szCs w:val="24"/>
        </w:rPr>
        <w:t xml:space="preserve"> compared to any of the other lower categories</w:t>
      </w:r>
      <w:r w:rsidR="00B0215D">
        <w:rPr>
          <w:rFonts w:ascii="Times New Roman" w:hAnsi="Times New Roman" w:cs="Times New Roman"/>
          <w:sz w:val="24"/>
          <w:szCs w:val="24"/>
        </w:rPr>
        <w:t>,</w:t>
      </w:r>
      <w:r>
        <w:rPr>
          <w:rFonts w:ascii="Times New Roman" w:hAnsi="Times New Roman" w:cs="Times New Roman"/>
          <w:sz w:val="24"/>
          <w:szCs w:val="24"/>
        </w:rPr>
        <w:t xml:space="preserve"> </w:t>
      </w:r>
      <w:r w:rsidR="00B0215D">
        <w:rPr>
          <w:rFonts w:ascii="Times New Roman" w:hAnsi="Times New Roman" w:cs="Times New Roman"/>
          <w:sz w:val="24"/>
          <w:szCs w:val="24"/>
        </w:rPr>
        <w:t xml:space="preserve">after </w:t>
      </w:r>
      <w:r>
        <w:rPr>
          <w:rFonts w:ascii="Times New Roman" w:hAnsi="Times New Roman" w:cs="Times New Roman"/>
          <w:sz w:val="24"/>
          <w:szCs w:val="24"/>
        </w:rPr>
        <w:t xml:space="preserve">a political shock occurs. These findings provide support for the argument that political shocks, all else equal, will be associated with substantially </w:t>
      </w:r>
      <w:r w:rsidR="004D0FCF">
        <w:rPr>
          <w:rFonts w:ascii="Times New Roman" w:hAnsi="Times New Roman" w:cs="Times New Roman"/>
          <w:sz w:val="24"/>
          <w:szCs w:val="24"/>
        </w:rPr>
        <w:t>higher</w:t>
      </w:r>
      <w:r>
        <w:rPr>
          <w:rFonts w:ascii="Times New Roman" w:hAnsi="Times New Roman" w:cs="Times New Roman"/>
          <w:sz w:val="24"/>
          <w:szCs w:val="24"/>
        </w:rPr>
        <w:t xml:space="preserve"> levels of human rights repression </w:t>
      </w:r>
      <w:r w:rsidR="00DF1D92">
        <w:rPr>
          <w:rFonts w:ascii="Times New Roman" w:hAnsi="Times New Roman" w:cs="Times New Roman"/>
          <w:sz w:val="24"/>
          <w:szCs w:val="24"/>
        </w:rPr>
        <w:t>especially in non-democratic polities (those with limited executive constraints).</w:t>
      </w:r>
      <w:r>
        <w:rPr>
          <w:rFonts w:ascii="Times New Roman" w:hAnsi="Times New Roman" w:cs="Times New Roman"/>
          <w:sz w:val="24"/>
          <w:szCs w:val="24"/>
        </w:rPr>
        <w:tab/>
      </w:r>
    </w:p>
    <w:bookmarkEnd w:id="14"/>
    <w:p w14:paraId="220B1E4E" w14:textId="77777777" w:rsidR="00D1647D" w:rsidRPr="00D1647D" w:rsidRDefault="00D1647D" w:rsidP="00B22A61">
      <w:pPr>
        <w:spacing w:line="480" w:lineRule="auto"/>
        <w:rPr>
          <w:rFonts w:ascii="Times New Roman" w:hAnsi="Times New Roman" w:cs="Times New Roman"/>
          <w:b/>
          <w:bCs/>
          <w:sz w:val="24"/>
          <w:szCs w:val="24"/>
        </w:rPr>
      </w:pPr>
      <w:r w:rsidRPr="00D1647D">
        <w:rPr>
          <w:rFonts w:ascii="Times New Roman" w:hAnsi="Times New Roman" w:cs="Times New Roman"/>
          <w:b/>
          <w:bCs/>
          <w:sz w:val="24"/>
          <w:szCs w:val="24"/>
        </w:rPr>
        <w:t>Qualifications, Implications, and Conclusions</w:t>
      </w:r>
    </w:p>
    <w:p w14:paraId="0EB3053E" w14:textId="48135494" w:rsidR="008F5469" w:rsidRDefault="00D1647D" w:rsidP="00B22A61">
      <w:pPr>
        <w:spacing w:line="480" w:lineRule="auto"/>
        <w:rPr>
          <w:rFonts w:ascii="Times New Roman" w:hAnsi="Times New Roman" w:cs="Times New Roman"/>
          <w:sz w:val="24"/>
          <w:szCs w:val="24"/>
        </w:rPr>
      </w:pPr>
      <w:r>
        <w:rPr>
          <w:rFonts w:ascii="Times New Roman" w:hAnsi="Times New Roman" w:cs="Times New Roman"/>
          <w:sz w:val="24"/>
          <w:szCs w:val="24"/>
        </w:rPr>
        <w:tab/>
      </w:r>
      <w:r w:rsidR="008F5469">
        <w:rPr>
          <w:rFonts w:ascii="Times New Roman" w:hAnsi="Times New Roman" w:cs="Times New Roman"/>
          <w:sz w:val="24"/>
          <w:szCs w:val="24"/>
        </w:rPr>
        <w:t>We began with highlighting a series of weakness</w:t>
      </w:r>
      <w:r w:rsidR="007F187C">
        <w:rPr>
          <w:rFonts w:ascii="Times New Roman" w:hAnsi="Times New Roman" w:cs="Times New Roman"/>
          <w:sz w:val="24"/>
          <w:szCs w:val="24"/>
        </w:rPr>
        <w:t>es</w:t>
      </w:r>
      <w:r w:rsidR="008F5469">
        <w:rPr>
          <w:rFonts w:ascii="Times New Roman" w:hAnsi="Times New Roman" w:cs="Times New Roman"/>
          <w:sz w:val="24"/>
          <w:szCs w:val="24"/>
        </w:rPr>
        <w:t xml:space="preserve"> in approaches to the conceptualization, measurement, and explanations surrounding political shocks in the extant literature. Then we </w:t>
      </w:r>
      <w:r w:rsidR="00AC7E02">
        <w:rPr>
          <w:rFonts w:ascii="Times New Roman" w:hAnsi="Times New Roman" w:cs="Times New Roman"/>
          <w:sz w:val="24"/>
          <w:szCs w:val="24"/>
        </w:rPr>
        <w:t>generated an alternative approach for</w:t>
      </w:r>
      <w:r w:rsidR="008F5469">
        <w:rPr>
          <w:rFonts w:ascii="Times New Roman" w:hAnsi="Times New Roman" w:cs="Times New Roman"/>
          <w:sz w:val="24"/>
          <w:szCs w:val="24"/>
        </w:rPr>
        <w:t xml:space="preserve"> identify</w:t>
      </w:r>
      <w:r w:rsidR="00AC7E02">
        <w:rPr>
          <w:rFonts w:ascii="Times New Roman" w:hAnsi="Times New Roman" w:cs="Times New Roman"/>
          <w:sz w:val="24"/>
          <w:szCs w:val="24"/>
        </w:rPr>
        <w:t>ing</w:t>
      </w:r>
      <w:r w:rsidR="008F5469">
        <w:rPr>
          <w:rFonts w:ascii="Times New Roman" w:hAnsi="Times New Roman" w:cs="Times New Roman"/>
          <w:sz w:val="24"/>
          <w:szCs w:val="24"/>
        </w:rPr>
        <w:t xml:space="preserve"> conditions under which potential political shocks can become actual shocks through their impact on </w:t>
      </w:r>
      <w:r w:rsidR="0005578E">
        <w:rPr>
          <w:rFonts w:ascii="Times New Roman" w:hAnsi="Times New Roman" w:cs="Times New Roman"/>
          <w:sz w:val="24"/>
          <w:szCs w:val="24"/>
        </w:rPr>
        <w:t xml:space="preserve">a </w:t>
      </w:r>
      <w:r w:rsidR="008F5469">
        <w:rPr>
          <w:rFonts w:ascii="Times New Roman" w:hAnsi="Times New Roman" w:cs="Times New Roman"/>
          <w:sz w:val="24"/>
          <w:szCs w:val="24"/>
        </w:rPr>
        <w:t>state</w:t>
      </w:r>
      <w:r w:rsidR="0005578E">
        <w:rPr>
          <w:rFonts w:ascii="Times New Roman" w:hAnsi="Times New Roman" w:cs="Times New Roman"/>
          <w:sz w:val="24"/>
          <w:szCs w:val="24"/>
        </w:rPr>
        <w:t>’s</w:t>
      </w:r>
      <w:r w:rsidR="008F5469">
        <w:rPr>
          <w:rFonts w:ascii="Times New Roman" w:hAnsi="Times New Roman" w:cs="Times New Roman"/>
          <w:sz w:val="24"/>
          <w:szCs w:val="24"/>
        </w:rPr>
        <w:t xml:space="preserve"> equilibrium</w:t>
      </w:r>
      <w:r w:rsidR="00AC7E02">
        <w:rPr>
          <w:rFonts w:ascii="Times New Roman" w:hAnsi="Times New Roman" w:cs="Times New Roman"/>
          <w:sz w:val="24"/>
          <w:szCs w:val="24"/>
        </w:rPr>
        <w:t xml:space="preserve">, and operationalized actual political shocks as disturbance to either the economic or political processes of the state. We then sought to link these disturbances to a range of potential political shocks in the literature. </w:t>
      </w:r>
      <w:r w:rsidR="008F5469">
        <w:rPr>
          <w:rFonts w:ascii="Times New Roman" w:hAnsi="Times New Roman" w:cs="Times New Roman"/>
          <w:sz w:val="24"/>
          <w:szCs w:val="24"/>
        </w:rPr>
        <w:t xml:space="preserve">Finally, we offered one illustration of how economic resource-based </w:t>
      </w:r>
      <w:r w:rsidR="006A5410">
        <w:rPr>
          <w:rFonts w:ascii="Times New Roman" w:hAnsi="Times New Roman" w:cs="Times New Roman"/>
          <w:sz w:val="24"/>
          <w:szCs w:val="24"/>
        </w:rPr>
        <w:t>political shocks</w:t>
      </w:r>
      <w:r w:rsidR="008F5469">
        <w:rPr>
          <w:rFonts w:ascii="Times New Roman" w:hAnsi="Times New Roman" w:cs="Times New Roman"/>
          <w:sz w:val="24"/>
          <w:szCs w:val="24"/>
        </w:rPr>
        <w:t xml:space="preserve"> can help account for </w:t>
      </w:r>
      <w:r w:rsidR="00DF1D92">
        <w:rPr>
          <w:rFonts w:ascii="Times New Roman" w:hAnsi="Times New Roman" w:cs="Times New Roman"/>
          <w:sz w:val="24"/>
          <w:szCs w:val="24"/>
        </w:rPr>
        <w:t xml:space="preserve">levels of human rights oppression </w:t>
      </w:r>
      <w:r w:rsidR="006A5410">
        <w:rPr>
          <w:rFonts w:ascii="Times New Roman" w:hAnsi="Times New Roman" w:cs="Times New Roman"/>
          <w:sz w:val="24"/>
          <w:szCs w:val="24"/>
        </w:rPr>
        <w:t>within states.</w:t>
      </w:r>
    </w:p>
    <w:p w14:paraId="057B7CED" w14:textId="165723AD" w:rsidR="0005578E" w:rsidRDefault="0005578E" w:rsidP="00BF4A8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noted earlier, we consider this effort to be </w:t>
      </w:r>
      <w:r w:rsidR="00BD583A">
        <w:rPr>
          <w:rFonts w:ascii="Times New Roman" w:hAnsi="Times New Roman" w:cs="Times New Roman"/>
          <w:sz w:val="24"/>
          <w:szCs w:val="24"/>
        </w:rPr>
        <w:t xml:space="preserve">a first step in addressing more systematically the salience of political shocks for interstate and intrastate politics. </w:t>
      </w:r>
      <w:r>
        <w:rPr>
          <w:rFonts w:ascii="Times New Roman" w:hAnsi="Times New Roman" w:cs="Times New Roman"/>
          <w:sz w:val="24"/>
          <w:szCs w:val="24"/>
        </w:rPr>
        <w:t xml:space="preserve">In that spirit, we offer </w:t>
      </w:r>
      <w:r w:rsidR="003327D3">
        <w:rPr>
          <w:rFonts w:ascii="Times New Roman" w:hAnsi="Times New Roman" w:cs="Times New Roman"/>
          <w:sz w:val="24"/>
          <w:szCs w:val="24"/>
        </w:rPr>
        <w:t>four</w:t>
      </w:r>
      <w:r w:rsidR="001F2488">
        <w:rPr>
          <w:rFonts w:ascii="Times New Roman" w:hAnsi="Times New Roman" w:cs="Times New Roman"/>
          <w:sz w:val="24"/>
          <w:szCs w:val="24"/>
        </w:rPr>
        <w:t xml:space="preserve"> </w:t>
      </w:r>
      <w:r>
        <w:rPr>
          <w:rFonts w:ascii="Times New Roman" w:hAnsi="Times New Roman" w:cs="Times New Roman"/>
          <w:sz w:val="24"/>
          <w:szCs w:val="24"/>
        </w:rPr>
        <w:t>caveats to our approach.</w:t>
      </w:r>
      <w:r w:rsidR="009E4856">
        <w:rPr>
          <w:rFonts w:ascii="Times New Roman" w:hAnsi="Times New Roman" w:cs="Times New Roman"/>
          <w:sz w:val="24"/>
          <w:szCs w:val="24"/>
        </w:rPr>
        <w:t xml:space="preserve"> </w:t>
      </w:r>
      <w:r w:rsidR="001F2488">
        <w:rPr>
          <w:rFonts w:ascii="Times New Roman" w:hAnsi="Times New Roman" w:cs="Times New Roman"/>
          <w:sz w:val="24"/>
          <w:szCs w:val="24"/>
        </w:rPr>
        <w:t xml:space="preserve">The first is with respect to the type of punctuations in state equilibrium that we had identified; </w:t>
      </w:r>
      <w:r w:rsidR="00BD583A">
        <w:rPr>
          <w:rFonts w:ascii="Times New Roman" w:hAnsi="Times New Roman" w:cs="Times New Roman"/>
          <w:sz w:val="24"/>
          <w:szCs w:val="24"/>
        </w:rPr>
        <w:t xml:space="preserve">we had focused exclusively on </w:t>
      </w:r>
      <w:r w:rsidR="001F2488">
        <w:rPr>
          <w:rFonts w:ascii="Times New Roman" w:hAnsi="Times New Roman" w:cs="Times New Roman"/>
          <w:sz w:val="24"/>
          <w:szCs w:val="24"/>
        </w:rPr>
        <w:t xml:space="preserve">major changes to the growth in state economies and </w:t>
      </w:r>
      <w:r w:rsidR="007F187C">
        <w:rPr>
          <w:rFonts w:ascii="Times New Roman" w:hAnsi="Times New Roman" w:cs="Times New Roman"/>
          <w:sz w:val="24"/>
          <w:szCs w:val="24"/>
        </w:rPr>
        <w:t xml:space="preserve">to </w:t>
      </w:r>
      <w:r w:rsidR="001F2488">
        <w:rPr>
          <w:rFonts w:ascii="Times New Roman" w:hAnsi="Times New Roman" w:cs="Times New Roman"/>
          <w:sz w:val="24"/>
          <w:szCs w:val="24"/>
        </w:rPr>
        <w:t xml:space="preserve">major changes </w:t>
      </w:r>
      <w:r w:rsidR="007F187C">
        <w:rPr>
          <w:rFonts w:ascii="Times New Roman" w:hAnsi="Times New Roman" w:cs="Times New Roman"/>
          <w:sz w:val="24"/>
          <w:szCs w:val="24"/>
        </w:rPr>
        <w:t xml:space="preserve">in state </w:t>
      </w:r>
      <w:r w:rsidR="001F2488">
        <w:rPr>
          <w:rFonts w:ascii="Times New Roman" w:hAnsi="Times New Roman" w:cs="Times New Roman"/>
          <w:sz w:val="24"/>
          <w:szCs w:val="24"/>
        </w:rPr>
        <w:t xml:space="preserve">political extraction. While we are confident that these two dimensions are highly salient for </w:t>
      </w:r>
      <w:r w:rsidR="00F61390">
        <w:rPr>
          <w:rFonts w:ascii="Times New Roman" w:hAnsi="Times New Roman" w:cs="Times New Roman"/>
          <w:sz w:val="24"/>
          <w:szCs w:val="24"/>
        </w:rPr>
        <w:t>policymakers</w:t>
      </w:r>
      <w:r w:rsidR="001F2488">
        <w:rPr>
          <w:rFonts w:ascii="Times New Roman" w:hAnsi="Times New Roman" w:cs="Times New Roman"/>
          <w:sz w:val="24"/>
          <w:szCs w:val="24"/>
        </w:rPr>
        <w:t xml:space="preserve">, we are less sanguine about whether they represent all the relevant dimensions for identifying punctuations in a state’s equilibrium. For instance, dramatic changes in the bureaucratic efficiency of states may represent another </w:t>
      </w:r>
      <w:r w:rsidR="001F2488">
        <w:rPr>
          <w:rFonts w:ascii="Times New Roman" w:hAnsi="Times New Roman" w:cs="Times New Roman"/>
          <w:sz w:val="24"/>
          <w:szCs w:val="24"/>
        </w:rPr>
        <w:lastRenderedPageBreak/>
        <w:t xml:space="preserve">salient dimension, albeit we lack quality longitudinal data for this assessment. Likewise, it is possible that </w:t>
      </w:r>
      <w:r w:rsidR="00AB6C3B">
        <w:rPr>
          <w:rFonts w:ascii="Times New Roman" w:hAnsi="Times New Roman" w:cs="Times New Roman"/>
          <w:sz w:val="24"/>
          <w:szCs w:val="24"/>
        </w:rPr>
        <w:t>immediate, major changes in states’ military spending may demonstrate another dimension of punctuated equilibrium</w:t>
      </w:r>
      <w:r w:rsidR="00BD583A">
        <w:rPr>
          <w:rFonts w:ascii="Times New Roman" w:hAnsi="Times New Roman" w:cs="Times New Roman"/>
          <w:sz w:val="24"/>
          <w:szCs w:val="24"/>
        </w:rPr>
        <w:t>. F</w:t>
      </w:r>
      <w:r w:rsidR="00AB6C3B">
        <w:rPr>
          <w:rFonts w:ascii="Times New Roman" w:hAnsi="Times New Roman" w:cs="Times New Roman"/>
          <w:sz w:val="24"/>
          <w:szCs w:val="24"/>
        </w:rPr>
        <w:t xml:space="preserve">urther research </w:t>
      </w:r>
      <w:r w:rsidR="00DF1D92">
        <w:rPr>
          <w:rFonts w:ascii="Times New Roman" w:hAnsi="Times New Roman" w:cs="Times New Roman"/>
          <w:sz w:val="24"/>
          <w:szCs w:val="24"/>
        </w:rPr>
        <w:t xml:space="preserve">however </w:t>
      </w:r>
      <w:r w:rsidR="00AB6C3B">
        <w:rPr>
          <w:rFonts w:ascii="Times New Roman" w:hAnsi="Times New Roman" w:cs="Times New Roman"/>
          <w:sz w:val="24"/>
          <w:szCs w:val="24"/>
        </w:rPr>
        <w:t xml:space="preserve">may uncover that such changes march in tandem with changes in political extraction and/or major changes to economic growth patterns. We anticipate </w:t>
      </w:r>
      <w:r w:rsidR="00BD583A">
        <w:rPr>
          <w:rFonts w:ascii="Times New Roman" w:hAnsi="Times New Roman" w:cs="Times New Roman"/>
          <w:sz w:val="24"/>
          <w:szCs w:val="24"/>
        </w:rPr>
        <w:t xml:space="preserve">conducting further analysis </w:t>
      </w:r>
      <w:r w:rsidR="00AB6C3B">
        <w:rPr>
          <w:rFonts w:ascii="Times New Roman" w:hAnsi="Times New Roman" w:cs="Times New Roman"/>
          <w:sz w:val="24"/>
          <w:szCs w:val="24"/>
        </w:rPr>
        <w:t xml:space="preserve">on </w:t>
      </w:r>
      <w:r w:rsidR="00DF1D92">
        <w:rPr>
          <w:rFonts w:ascii="Times New Roman" w:hAnsi="Times New Roman" w:cs="Times New Roman"/>
          <w:sz w:val="24"/>
          <w:szCs w:val="24"/>
        </w:rPr>
        <w:t>th</w:t>
      </w:r>
      <w:r w:rsidR="00BD583A">
        <w:rPr>
          <w:rFonts w:ascii="Times New Roman" w:hAnsi="Times New Roman" w:cs="Times New Roman"/>
          <w:sz w:val="24"/>
          <w:szCs w:val="24"/>
        </w:rPr>
        <w:t>ese</w:t>
      </w:r>
      <w:r w:rsidR="00DF1D92">
        <w:rPr>
          <w:rFonts w:ascii="Times New Roman" w:hAnsi="Times New Roman" w:cs="Times New Roman"/>
          <w:sz w:val="24"/>
          <w:szCs w:val="24"/>
        </w:rPr>
        <w:t xml:space="preserve"> </w:t>
      </w:r>
      <w:r w:rsidR="00AB6C3B">
        <w:rPr>
          <w:rFonts w:ascii="Times New Roman" w:hAnsi="Times New Roman" w:cs="Times New Roman"/>
          <w:sz w:val="24"/>
          <w:szCs w:val="24"/>
        </w:rPr>
        <w:t xml:space="preserve">dimensions of </w:t>
      </w:r>
      <w:r w:rsidR="00BD583A">
        <w:rPr>
          <w:rFonts w:ascii="Times New Roman" w:hAnsi="Times New Roman" w:cs="Times New Roman"/>
          <w:sz w:val="24"/>
          <w:szCs w:val="24"/>
        </w:rPr>
        <w:t>possible disruptions to state stability</w:t>
      </w:r>
      <w:r w:rsidR="00AB6C3B">
        <w:rPr>
          <w:rFonts w:ascii="Times New Roman" w:hAnsi="Times New Roman" w:cs="Times New Roman"/>
          <w:sz w:val="24"/>
          <w:szCs w:val="24"/>
        </w:rPr>
        <w:t>.</w:t>
      </w:r>
    </w:p>
    <w:p w14:paraId="489E5E6F" w14:textId="05F4353F" w:rsidR="009730EB" w:rsidRDefault="009730EB" w:rsidP="001F24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we noted that our two dimensions of punctuated equilibria are relatively independent of each other, but they share some 20 percent of cases. Should these cases that are identified on both dimensions be treated differently? Do they represent a fundamentally greater shock than the other cases with perhaps far greater implications for domestic and foreign policies? </w:t>
      </w:r>
      <w:r w:rsidR="00DF1D92">
        <w:rPr>
          <w:rFonts w:ascii="Times New Roman" w:hAnsi="Times New Roman" w:cs="Times New Roman"/>
          <w:sz w:val="24"/>
          <w:szCs w:val="24"/>
        </w:rPr>
        <w:t xml:space="preserve">Our preliminary exploration of these cases yielded inconsistent findings and </w:t>
      </w:r>
      <w:r w:rsidR="00BD583A">
        <w:rPr>
          <w:rFonts w:ascii="Times New Roman" w:hAnsi="Times New Roman" w:cs="Times New Roman"/>
          <w:sz w:val="24"/>
          <w:szCs w:val="24"/>
        </w:rPr>
        <w:t>therefore</w:t>
      </w:r>
      <w:r w:rsidR="00DF1D92">
        <w:rPr>
          <w:rFonts w:ascii="Times New Roman" w:hAnsi="Times New Roman" w:cs="Times New Roman"/>
          <w:sz w:val="24"/>
          <w:szCs w:val="24"/>
        </w:rPr>
        <w:t xml:space="preserve"> we have kept this issue on our research agenda. </w:t>
      </w:r>
    </w:p>
    <w:p w14:paraId="7DDBEDFA" w14:textId="53884C37" w:rsidR="0042486A" w:rsidRDefault="009730EB" w:rsidP="001F248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Third</w:t>
      </w:r>
      <w:r w:rsidR="00AB6C3B">
        <w:rPr>
          <w:rFonts w:ascii="Times New Roman" w:hAnsi="Times New Roman" w:cs="Times New Roman"/>
          <w:sz w:val="24"/>
          <w:szCs w:val="24"/>
        </w:rPr>
        <w:t xml:space="preserve">, we caution that empirically we had identified two different types of punctuations: sharp </w:t>
      </w:r>
      <w:r w:rsidR="00AB6C3B" w:rsidRPr="009730EB">
        <w:rPr>
          <w:rFonts w:ascii="Times New Roman" w:hAnsi="Times New Roman" w:cs="Times New Roman"/>
          <w:i/>
          <w:iCs/>
          <w:sz w:val="24"/>
          <w:szCs w:val="24"/>
        </w:rPr>
        <w:t>decreases</w:t>
      </w:r>
      <w:r w:rsidR="00AB6C3B">
        <w:rPr>
          <w:rFonts w:ascii="Times New Roman" w:hAnsi="Times New Roman" w:cs="Times New Roman"/>
          <w:sz w:val="24"/>
          <w:szCs w:val="24"/>
        </w:rPr>
        <w:t xml:space="preserve"> and sharp </w:t>
      </w:r>
      <w:r w:rsidR="00AB6C3B" w:rsidRPr="009730EB">
        <w:rPr>
          <w:rFonts w:ascii="Times New Roman" w:hAnsi="Times New Roman" w:cs="Times New Roman"/>
          <w:i/>
          <w:iCs/>
          <w:sz w:val="24"/>
          <w:szCs w:val="24"/>
        </w:rPr>
        <w:t xml:space="preserve">increases </w:t>
      </w:r>
      <w:r w:rsidR="00AB6C3B">
        <w:rPr>
          <w:rFonts w:ascii="Times New Roman" w:hAnsi="Times New Roman" w:cs="Times New Roman"/>
          <w:sz w:val="24"/>
          <w:szCs w:val="24"/>
        </w:rPr>
        <w:t>to both economic growth and political extraction</w:t>
      </w:r>
      <w:r w:rsidR="0042486A">
        <w:rPr>
          <w:rFonts w:ascii="Times New Roman" w:hAnsi="Times New Roman" w:cs="Times New Roman"/>
          <w:sz w:val="24"/>
          <w:szCs w:val="24"/>
        </w:rPr>
        <w:t>, albeit we treated them as roughly similar</w:t>
      </w:r>
      <w:r w:rsidR="00AB6C3B">
        <w:rPr>
          <w:rFonts w:ascii="Times New Roman" w:hAnsi="Times New Roman" w:cs="Times New Roman"/>
          <w:sz w:val="24"/>
          <w:szCs w:val="24"/>
        </w:rPr>
        <w:t>. We assume</w:t>
      </w:r>
      <w:r w:rsidR="0042486A">
        <w:rPr>
          <w:rFonts w:ascii="Times New Roman" w:hAnsi="Times New Roman" w:cs="Times New Roman"/>
          <w:sz w:val="24"/>
          <w:szCs w:val="24"/>
        </w:rPr>
        <w:t>, however,</w:t>
      </w:r>
      <w:r w:rsidR="00AB6C3B">
        <w:rPr>
          <w:rFonts w:ascii="Times New Roman" w:hAnsi="Times New Roman" w:cs="Times New Roman"/>
          <w:sz w:val="24"/>
          <w:szCs w:val="24"/>
        </w:rPr>
        <w:t xml:space="preserve"> that these two types of punctuations do not impact in the same way on the states effected, nor on interested outside parties. For example, a dramatic </w:t>
      </w:r>
      <w:r w:rsidR="00AB6C3B" w:rsidRPr="00AB6C3B">
        <w:rPr>
          <w:rFonts w:ascii="Times New Roman" w:hAnsi="Times New Roman" w:cs="Times New Roman"/>
          <w:i/>
          <w:iCs/>
          <w:sz w:val="24"/>
          <w:szCs w:val="24"/>
        </w:rPr>
        <w:t>decrease</w:t>
      </w:r>
      <w:r w:rsidR="00AB6C3B">
        <w:rPr>
          <w:rFonts w:ascii="Times New Roman" w:hAnsi="Times New Roman" w:cs="Times New Roman"/>
          <w:sz w:val="24"/>
          <w:szCs w:val="24"/>
        </w:rPr>
        <w:t xml:space="preserve"> in political extraction can signal a state’s vulnerability to other states and within the polity, to non-state actors. A dramatic </w:t>
      </w:r>
      <w:r w:rsidR="00AB6C3B" w:rsidRPr="00AB6C3B">
        <w:rPr>
          <w:rFonts w:ascii="Times New Roman" w:hAnsi="Times New Roman" w:cs="Times New Roman"/>
          <w:i/>
          <w:iCs/>
          <w:sz w:val="24"/>
          <w:szCs w:val="24"/>
        </w:rPr>
        <w:t>increase</w:t>
      </w:r>
      <w:r w:rsidR="00AB6C3B">
        <w:rPr>
          <w:rFonts w:ascii="Times New Roman" w:hAnsi="Times New Roman" w:cs="Times New Roman"/>
          <w:sz w:val="24"/>
          <w:szCs w:val="24"/>
        </w:rPr>
        <w:t xml:space="preserve"> in political extraction may signal to other states a growing threat consistent with what scholars identify as a classic security dilemma</w:t>
      </w:r>
      <w:r w:rsidR="009C6180">
        <w:rPr>
          <w:rFonts w:ascii="Times New Roman" w:hAnsi="Times New Roman" w:cs="Times New Roman"/>
          <w:sz w:val="24"/>
          <w:szCs w:val="24"/>
        </w:rPr>
        <w:t xml:space="preserve"> (</w:t>
      </w:r>
      <w:r w:rsidR="00F61390">
        <w:rPr>
          <w:rFonts w:ascii="Times New Roman" w:hAnsi="Times New Roman" w:cs="Times New Roman"/>
          <w:sz w:val="24"/>
          <w:szCs w:val="24"/>
        </w:rPr>
        <w:t>e.g.,</w:t>
      </w:r>
      <w:r w:rsidR="009C6180">
        <w:rPr>
          <w:rFonts w:ascii="Times New Roman" w:hAnsi="Times New Roman" w:cs="Times New Roman"/>
          <w:sz w:val="24"/>
          <w:szCs w:val="24"/>
        </w:rPr>
        <w:t xml:space="preserve"> Jervis 1978, Glaser 1997)</w:t>
      </w:r>
      <w:r w:rsidR="0042486A">
        <w:rPr>
          <w:rFonts w:ascii="Times New Roman" w:hAnsi="Times New Roman" w:cs="Times New Roman"/>
          <w:sz w:val="24"/>
          <w:szCs w:val="24"/>
        </w:rPr>
        <w:t xml:space="preserve">, while for </w:t>
      </w:r>
      <w:r w:rsidR="00767EB8">
        <w:rPr>
          <w:rFonts w:ascii="Times New Roman" w:hAnsi="Times New Roman" w:cs="Times New Roman"/>
          <w:sz w:val="24"/>
          <w:szCs w:val="24"/>
        </w:rPr>
        <w:t>policymakers</w:t>
      </w:r>
      <w:r w:rsidR="0042486A">
        <w:rPr>
          <w:rFonts w:ascii="Times New Roman" w:hAnsi="Times New Roman" w:cs="Times New Roman"/>
          <w:sz w:val="24"/>
          <w:szCs w:val="24"/>
        </w:rPr>
        <w:t xml:space="preserve"> experiencing the event, they may provide greater flexibility and policy options than previously</w:t>
      </w:r>
      <w:r w:rsidR="00AB6C3B">
        <w:rPr>
          <w:rFonts w:ascii="Times New Roman" w:hAnsi="Times New Roman" w:cs="Times New Roman"/>
          <w:sz w:val="24"/>
          <w:szCs w:val="24"/>
        </w:rPr>
        <w:t xml:space="preserve">. </w:t>
      </w:r>
    </w:p>
    <w:p w14:paraId="4D73BC27" w14:textId="7D5A9357" w:rsidR="00AB6C3B" w:rsidRDefault="0042486A" w:rsidP="001F24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the two types of disturbances </w:t>
      </w:r>
      <w:r w:rsidR="009C6180">
        <w:rPr>
          <w:rFonts w:ascii="Times New Roman" w:hAnsi="Times New Roman" w:cs="Times New Roman"/>
          <w:sz w:val="24"/>
          <w:szCs w:val="24"/>
        </w:rPr>
        <w:t>may</w:t>
      </w:r>
      <w:r>
        <w:rPr>
          <w:rFonts w:ascii="Times New Roman" w:hAnsi="Times New Roman" w:cs="Times New Roman"/>
          <w:sz w:val="24"/>
          <w:szCs w:val="24"/>
        </w:rPr>
        <w:t xml:space="preserve"> have very different policy and behavioral effects is suggested by our analysis of the impact of economic punctuations. Although we treated both </w:t>
      </w:r>
      <w:r>
        <w:rPr>
          <w:rFonts w:ascii="Times New Roman" w:hAnsi="Times New Roman" w:cs="Times New Roman"/>
          <w:sz w:val="24"/>
          <w:szCs w:val="24"/>
        </w:rPr>
        <w:lastRenderedPageBreak/>
        <w:t xml:space="preserve">major </w:t>
      </w:r>
      <w:r w:rsidR="009730EB">
        <w:rPr>
          <w:rFonts w:ascii="Times New Roman" w:hAnsi="Times New Roman" w:cs="Times New Roman"/>
          <w:sz w:val="24"/>
          <w:szCs w:val="24"/>
        </w:rPr>
        <w:t>decreases</w:t>
      </w:r>
      <w:r>
        <w:rPr>
          <w:rFonts w:ascii="Times New Roman" w:hAnsi="Times New Roman" w:cs="Times New Roman"/>
          <w:sz w:val="24"/>
          <w:szCs w:val="24"/>
        </w:rPr>
        <w:t xml:space="preserve"> and </w:t>
      </w:r>
      <w:r w:rsidR="009730EB">
        <w:rPr>
          <w:rFonts w:ascii="Times New Roman" w:hAnsi="Times New Roman" w:cs="Times New Roman"/>
          <w:sz w:val="24"/>
          <w:szCs w:val="24"/>
        </w:rPr>
        <w:t>increases</w:t>
      </w:r>
      <w:r>
        <w:rPr>
          <w:rFonts w:ascii="Times New Roman" w:hAnsi="Times New Roman" w:cs="Times New Roman"/>
          <w:sz w:val="24"/>
          <w:szCs w:val="24"/>
        </w:rPr>
        <w:t xml:space="preserve"> as the same in Table 2, when we disaggregate these changes, we find that it is sharp </w:t>
      </w:r>
      <w:r w:rsidRPr="00BD583A">
        <w:rPr>
          <w:rFonts w:ascii="Times New Roman" w:hAnsi="Times New Roman" w:cs="Times New Roman"/>
          <w:i/>
          <w:iCs/>
          <w:sz w:val="24"/>
          <w:szCs w:val="24"/>
        </w:rPr>
        <w:t>increases</w:t>
      </w:r>
      <w:r>
        <w:rPr>
          <w:rFonts w:ascii="Times New Roman" w:hAnsi="Times New Roman" w:cs="Times New Roman"/>
          <w:sz w:val="24"/>
          <w:szCs w:val="24"/>
        </w:rPr>
        <w:t xml:space="preserve"> in economic growth that are associated with higher levels of repression </w:t>
      </w:r>
      <w:r w:rsidR="00BD583A">
        <w:rPr>
          <w:rFonts w:ascii="Times New Roman" w:hAnsi="Times New Roman" w:cs="Times New Roman"/>
          <w:sz w:val="24"/>
          <w:szCs w:val="24"/>
        </w:rPr>
        <w:t>for</w:t>
      </w:r>
      <w:r>
        <w:rPr>
          <w:rFonts w:ascii="Times New Roman" w:hAnsi="Times New Roman" w:cs="Times New Roman"/>
          <w:sz w:val="24"/>
          <w:szCs w:val="24"/>
        </w:rPr>
        <w:t xml:space="preserve"> mostly non-democratic governments.</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We conjecture that this may be the case as these governments</w:t>
      </w:r>
      <w:r w:rsidR="009C6180">
        <w:rPr>
          <w:rFonts w:ascii="Times New Roman" w:hAnsi="Times New Roman" w:cs="Times New Roman"/>
          <w:sz w:val="24"/>
          <w:szCs w:val="24"/>
        </w:rPr>
        <w:t>, under conditions of substantial uncertainty to their domestic political survival</w:t>
      </w:r>
      <w:r w:rsidR="004F3C1F">
        <w:rPr>
          <w:rFonts w:ascii="Times New Roman" w:hAnsi="Times New Roman" w:cs="Times New Roman"/>
          <w:sz w:val="24"/>
          <w:szCs w:val="24"/>
        </w:rPr>
        <w:t xml:space="preserve"> </w:t>
      </w:r>
      <w:r w:rsidR="009C6180">
        <w:rPr>
          <w:rFonts w:ascii="Times New Roman" w:hAnsi="Times New Roman" w:cs="Times New Roman"/>
          <w:sz w:val="24"/>
          <w:szCs w:val="24"/>
        </w:rPr>
        <w:t>created by a major political shock,</w:t>
      </w:r>
      <w:r>
        <w:rPr>
          <w:rFonts w:ascii="Times New Roman" w:hAnsi="Times New Roman" w:cs="Times New Roman"/>
          <w:sz w:val="24"/>
          <w:szCs w:val="24"/>
        </w:rPr>
        <w:t xml:space="preserve"> are now able to generate more resources to ramp up repression against potential and actual foes in the political system. </w:t>
      </w:r>
      <w:r w:rsidR="00BD583A">
        <w:rPr>
          <w:rFonts w:ascii="Times New Roman" w:hAnsi="Times New Roman" w:cs="Times New Roman"/>
          <w:sz w:val="24"/>
          <w:szCs w:val="24"/>
        </w:rPr>
        <w:t>F</w:t>
      </w:r>
      <w:r w:rsidR="00AB6C3B">
        <w:rPr>
          <w:rFonts w:ascii="Times New Roman" w:hAnsi="Times New Roman" w:cs="Times New Roman"/>
          <w:sz w:val="24"/>
          <w:szCs w:val="24"/>
        </w:rPr>
        <w:t>urther research needs to probe the possible diverging consequences of these two types of political shocks.</w:t>
      </w:r>
    </w:p>
    <w:p w14:paraId="31407BCA" w14:textId="2C492661" w:rsidR="0042486A" w:rsidRDefault="009730EB" w:rsidP="001F2488">
      <w:pPr>
        <w:spacing w:line="480" w:lineRule="auto"/>
        <w:ind w:firstLine="720"/>
        <w:rPr>
          <w:rFonts w:ascii="Times New Roman" w:hAnsi="Times New Roman" w:cs="Times New Roman"/>
          <w:sz w:val="24"/>
          <w:szCs w:val="24"/>
        </w:rPr>
      </w:pPr>
      <w:r>
        <w:rPr>
          <w:rFonts w:ascii="Times New Roman" w:hAnsi="Times New Roman" w:cs="Times New Roman"/>
          <w:sz w:val="24"/>
          <w:szCs w:val="24"/>
        </w:rPr>
        <w:t>Fourth</w:t>
      </w:r>
      <w:r w:rsidR="0042486A">
        <w:rPr>
          <w:rFonts w:ascii="Times New Roman" w:hAnsi="Times New Roman" w:cs="Times New Roman"/>
          <w:sz w:val="24"/>
          <w:szCs w:val="24"/>
        </w:rPr>
        <w:t xml:space="preserve">, we are aware that some scholars will be uncomfortable with the operationalization strategy employed in identifying political shocks. </w:t>
      </w:r>
      <w:r>
        <w:rPr>
          <w:rFonts w:ascii="Times New Roman" w:hAnsi="Times New Roman" w:cs="Times New Roman"/>
          <w:sz w:val="24"/>
          <w:szCs w:val="24"/>
        </w:rPr>
        <w:t xml:space="preserve">Scholars </w:t>
      </w:r>
      <w:r w:rsidR="0042486A">
        <w:rPr>
          <w:rFonts w:ascii="Times New Roman" w:hAnsi="Times New Roman" w:cs="Times New Roman"/>
          <w:sz w:val="24"/>
          <w:szCs w:val="24"/>
        </w:rPr>
        <w:t xml:space="preserve">are used to </w:t>
      </w:r>
      <w:r w:rsidR="008B19C2">
        <w:rPr>
          <w:rFonts w:ascii="Times New Roman" w:hAnsi="Times New Roman" w:cs="Times New Roman"/>
          <w:sz w:val="24"/>
          <w:szCs w:val="24"/>
        </w:rPr>
        <w:t xml:space="preserve">conceptualizing </w:t>
      </w:r>
      <w:r w:rsidR="0042486A">
        <w:rPr>
          <w:rFonts w:ascii="Times New Roman" w:hAnsi="Times New Roman" w:cs="Times New Roman"/>
          <w:sz w:val="24"/>
          <w:szCs w:val="24"/>
        </w:rPr>
        <w:t xml:space="preserve">these shocks in terms of events rather than punctuated equilibria that are likely related to events. We are also aware that our strategy of linking cases of punctuations to events </w:t>
      </w:r>
      <w:r w:rsidR="006A5410">
        <w:rPr>
          <w:rFonts w:ascii="Times New Roman" w:hAnsi="Times New Roman" w:cs="Times New Roman"/>
          <w:sz w:val="24"/>
          <w:szCs w:val="24"/>
        </w:rPr>
        <w:t>can be problematic given the enormous variety of candidate events and limited inventories of event histories. We have made a “good faith” effort to link these punctuations to potential political shock events through a sampling process on the economic dimension and through an illustration of cases on the political extraction dimension. While we find extremely few cases where one cannot link a punctuation in equilibrium to a dramatic event, it is quite possible that we have some “false positives” in our data. This is a significant potential validity issue and we will continue to search for cases where punctuations occur but without an unaccompanied potential shock event</w:t>
      </w:r>
      <w:r>
        <w:rPr>
          <w:rFonts w:ascii="Times New Roman" w:hAnsi="Times New Roman" w:cs="Times New Roman"/>
          <w:sz w:val="24"/>
          <w:szCs w:val="24"/>
        </w:rPr>
        <w:t>,</w:t>
      </w:r>
      <w:r w:rsidR="006A5410">
        <w:rPr>
          <w:rStyle w:val="FootnoteReference"/>
          <w:rFonts w:ascii="Times New Roman" w:hAnsi="Times New Roman" w:cs="Times New Roman"/>
          <w:sz w:val="24"/>
          <w:szCs w:val="24"/>
        </w:rPr>
        <w:footnoteReference w:id="52"/>
      </w:r>
      <w:r w:rsidR="006A5410">
        <w:rPr>
          <w:rFonts w:ascii="Times New Roman" w:hAnsi="Times New Roman" w:cs="Times New Roman"/>
          <w:sz w:val="24"/>
          <w:szCs w:val="24"/>
        </w:rPr>
        <w:t xml:space="preserve"> </w:t>
      </w:r>
      <w:r>
        <w:rPr>
          <w:rFonts w:ascii="Times New Roman" w:hAnsi="Times New Roman" w:cs="Times New Roman"/>
          <w:sz w:val="24"/>
          <w:szCs w:val="24"/>
        </w:rPr>
        <w:t>as an ongoing exercise in cleaning our data.</w:t>
      </w:r>
    </w:p>
    <w:p w14:paraId="47DD98F1" w14:textId="6F3FD888" w:rsidR="00844166" w:rsidRDefault="003327D3" w:rsidP="001F248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Finally, we close with a call to examine the variety of consequences of political shocks, especially for interstate relations. Our </w:t>
      </w:r>
      <w:r w:rsidR="00B0215D">
        <w:rPr>
          <w:rFonts w:ascii="Times New Roman" w:hAnsi="Times New Roman" w:cs="Times New Roman"/>
          <w:sz w:val="24"/>
          <w:szCs w:val="24"/>
        </w:rPr>
        <w:t>approach</w:t>
      </w:r>
      <w:r>
        <w:rPr>
          <w:rFonts w:ascii="Times New Roman" w:hAnsi="Times New Roman" w:cs="Times New Roman"/>
          <w:sz w:val="24"/>
          <w:szCs w:val="24"/>
        </w:rPr>
        <w:t xml:space="preserve"> suggests that actual political shocks, by creating uncertainties regarding domestic and external security issues, provide opportunities for </w:t>
      </w:r>
      <w:r w:rsidR="00F61390">
        <w:rPr>
          <w:rFonts w:ascii="Times New Roman" w:hAnsi="Times New Roman" w:cs="Times New Roman"/>
          <w:sz w:val="24"/>
          <w:szCs w:val="24"/>
        </w:rPr>
        <w:t>policymakers</w:t>
      </w:r>
      <w:r>
        <w:rPr>
          <w:rFonts w:ascii="Times New Roman" w:hAnsi="Times New Roman" w:cs="Times New Roman"/>
          <w:sz w:val="24"/>
          <w:szCs w:val="24"/>
        </w:rPr>
        <w:t xml:space="preserve"> to reconsider and to substantially alter the direction of their foreign policies. As rivalry researchers have noted, such reconsiderations can initiate or terminate rivalries and bring about either substantially greater conflict or greater efforts at cooperation between states. </w:t>
      </w:r>
      <w:r w:rsidR="00844166">
        <w:rPr>
          <w:rFonts w:ascii="Times New Roman" w:hAnsi="Times New Roman" w:cs="Times New Roman"/>
          <w:sz w:val="24"/>
          <w:szCs w:val="24"/>
        </w:rPr>
        <w:t>What is clearly missing in this work, and in the literature as well, is a theory of political shocks that identifies the variety of causal mechanisms that may induce or restrain major policy change (and therefore state behavior) once the state has experienced an actual political shock. Along with previous efforts (</w:t>
      </w:r>
      <w:r w:rsidR="00F61390">
        <w:rPr>
          <w:rFonts w:ascii="Times New Roman" w:hAnsi="Times New Roman" w:cs="Times New Roman"/>
          <w:sz w:val="24"/>
          <w:szCs w:val="24"/>
        </w:rPr>
        <w:t>e.g.,</w:t>
      </w:r>
      <w:r w:rsidR="00844166">
        <w:rPr>
          <w:rFonts w:ascii="Times New Roman" w:hAnsi="Times New Roman" w:cs="Times New Roman"/>
          <w:sz w:val="24"/>
          <w:szCs w:val="24"/>
        </w:rPr>
        <w:t xml:space="preserve"> Goertz and Diehl, Rasler 2000), we recognize that political shocks constitute a necessary but insufficient condition for major policy change. </w:t>
      </w:r>
      <w:r>
        <w:rPr>
          <w:rFonts w:ascii="Times New Roman" w:hAnsi="Times New Roman" w:cs="Times New Roman"/>
          <w:sz w:val="24"/>
          <w:szCs w:val="24"/>
        </w:rPr>
        <w:t xml:space="preserve">The next steps should involve a more rigorous theoretical </w:t>
      </w:r>
      <w:r w:rsidR="001F5F60">
        <w:rPr>
          <w:rFonts w:ascii="Times New Roman" w:hAnsi="Times New Roman" w:cs="Times New Roman"/>
          <w:sz w:val="24"/>
          <w:szCs w:val="24"/>
        </w:rPr>
        <w:t xml:space="preserve">(and empirical) </w:t>
      </w:r>
      <w:r>
        <w:rPr>
          <w:rFonts w:ascii="Times New Roman" w:hAnsi="Times New Roman" w:cs="Times New Roman"/>
          <w:sz w:val="24"/>
          <w:szCs w:val="24"/>
        </w:rPr>
        <w:t>approach to identifying conditions under which such shocks</w:t>
      </w:r>
      <w:r w:rsidR="00844166">
        <w:rPr>
          <w:rFonts w:ascii="Times New Roman" w:hAnsi="Times New Roman" w:cs="Times New Roman"/>
          <w:sz w:val="24"/>
          <w:szCs w:val="24"/>
        </w:rPr>
        <w:t>, in combination with other causal drivers,</w:t>
      </w:r>
      <w:r>
        <w:rPr>
          <w:rFonts w:ascii="Times New Roman" w:hAnsi="Times New Roman" w:cs="Times New Roman"/>
          <w:sz w:val="24"/>
          <w:szCs w:val="24"/>
        </w:rPr>
        <w:t xml:space="preserve"> create hostility-inducing policy changes and shocks that may drive </w:t>
      </w:r>
      <w:r w:rsidR="00F61390">
        <w:rPr>
          <w:rFonts w:ascii="Times New Roman" w:hAnsi="Times New Roman" w:cs="Times New Roman"/>
          <w:sz w:val="24"/>
          <w:szCs w:val="24"/>
        </w:rPr>
        <w:t>policymakers</w:t>
      </w:r>
      <w:r>
        <w:rPr>
          <w:rFonts w:ascii="Times New Roman" w:hAnsi="Times New Roman" w:cs="Times New Roman"/>
          <w:sz w:val="24"/>
          <w:szCs w:val="24"/>
        </w:rPr>
        <w:t xml:space="preserve"> towards more cooperative relations</w:t>
      </w:r>
      <w:r w:rsidR="001F5F60">
        <w:rPr>
          <w:rFonts w:ascii="Times New Roman" w:hAnsi="Times New Roman" w:cs="Times New Roman"/>
          <w:sz w:val="24"/>
          <w:szCs w:val="24"/>
        </w:rPr>
        <w:t xml:space="preserve"> with their antagonists. </w:t>
      </w:r>
      <w:r w:rsidR="00844166">
        <w:rPr>
          <w:rFonts w:ascii="Times New Roman" w:hAnsi="Times New Roman" w:cs="Times New Roman"/>
          <w:sz w:val="24"/>
          <w:szCs w:val="24"/>
        </w:rPr>
        <w:t>In Appendix C we offer a theoretical framework suggesting a range of causal drivers that may help to address some of these concerns.</w:t>
      </w:r>
    </w:p>
    <w:p w14:paraId="6A362D16" w14:textId="33E88BF2" w:rsidR="003327D3" w:rsidRDefault="001F5F60" w:rsidP="001F2488">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doing so, however, we caution that a strictly monadic approach to this question is problematic. External parties are also aware of these punctuations and may cease the initiative as well for seeking new relationships with the effected state. Either way, a long research road awaits those seeking to account for fundamental changes in interstate relations.</w:t>
      </w:r>
      <w:r w:rsidR="004F3C1F">
        <w:rPr>
          <w:rFonts w:ascii="Times New Roman" w:hAnsi="Times New Roman" w:cs="Times New Roman"/>
          <w:sz w:val="24"/>
          <w:szCs w:val="24"/>
        </w:rPr>
        <w:t xml:space="preserve"> Hopefully this work has taken a few of those steps.</w:t>
      </w:r>
    </w:p>
    <w:p w14:paraId="2BD1021D" w14:textId="1482A621" w:rsidR="00A333A1" w:rsidRDefault="00A333A1" w:rsidP="00984F8E">
      <w:pPr>
        <w:rPr>
          <w:rFonts w:ascii="Times New Roman" w:hAnsi="Times New Roman" w:cs="Times New Roman"/>
          <w:b/>
          <w:bCs/>
          <w:sz w:val="24"/>
          <w:szCs w:val="24"/>
        </w:rPr>
      </w:pPr>
      <w:r>
        <w:rPr>
          <w:rFonts w:ascii="Times New Roman" w:hAnsi="Times New Roman" w:cs="Times New Roman"/>
          <w:b/>
          <w:bCs/>
          <w:sz w:val="24"/>
          <w:szCs w:val="24"/>
        </w:rPr>
        <w:t>References</w:t>
      </w:r>
    </w:p>
    <w:p w14:paraId="6907FBD5" w14:textId="77777777" w:rsidR="00822482" w:rsidRDefault="000613C5" w:rsidP="00822482">
      <w:pPr>
        <w:rPr>
          <w:rFonts w:ascii="Times New Roman" w:hAnsi="Times New Roman" w:cs="Times New Roman"/>
          <w:sz w:val="24"/>
          <w:szCs w:val="24"/>
        </w:rPr>
      </w:pPr>
      <w:r w:rsidRPr="00514582">
        <w:rPr>
          <w:rFonts w:ascii="Times New Roman" w:hAnsi="Times New Roman" w:cs="Times New Roman"/>
          <w:sz w:val="24"/>
          <w:szCs w:val="24"/>
        </w:rPr>
        <w:t xml:space="preserve">Alesina, Alberto, Sule Ozler, Nouriel Roubini, &amp; Philip Swagel. 1996. </w:t>
      </w:r>
      <w:r>
        <w:rPr>
          <w:rFonts w:ascii="Times New Roman" w:hAnsi="Times New Roman" w:cs="Times New Roman"/>
          <w:sz w:val="24"/>
          <w:szCs w:val="24"/>
        </w:rPr>
        <w:t>“</w:t>
      </w:r>
      <w:r w:rsidRPr="00514582">
        <w:rPr>
          <w:rFonts w:ascii="Times New Roman" w:hAnsi="Times New Roman" w:cs="Times New Roman"/>
          <w:sz w:val="24"/>
          <w:szCs w:val="24"/>
        </w:rPr>
        <w:t>Political Instability and Economic Growth.</w:t>
      </w:r>
      <w:r>
        <w:rPr>
          <w:rFonts w:ascii="Times New Roman" w:hAnsi="Times New Roman" w:cs="Times New Roman"/>
          <w:sz w:val="24"/>
          <w:szCs w:val="24"/>
        </w:rPr>
        <w:t>”</w:t>
      </w:r>
      <w:r w:rsidRPr="00514582">
        <w:rPr>
          <w:rFonts w:ascii="Times New Roman" w:hAnsi="Times New Roman" w:cs="Times New Roman"/>
          <w:sz w:val="24"/>
          <w:szCs w:val="24"/>
        </w:rPr>
        <w:t xml:space="preserve"> </w:t>
      </w:r>
      <w:r w:rsidRPr="00514582">
        <w:rPr>
          <w:rFonts w:ascii="Times New Roman" w:hAnsi="Times New Roman" w:cs="Times New Roman"/>
          <w:i/>
          <w:iCs/>
          <w:sz w:val="24"/>
          <w:szCs w:val="24"/>
        </w:rPr>
        <w:t>Journal of Economic Growth,</w:t>
      </w:r>
      <w:r w:rsidRPr="00514582">
        <w:rPr>
          <w:rFonts w:ascii="Times New Roman" w:hAnsi="Times New Roman" w:cs="Times New Roman"/>
          <w:sz w:val="24"/>
          <w:szCs w:val="24"/>
        </w:rPr>
        <w:t xml:space="preserve"> 1</w:t>
      </w:r>
      <w:r>
        <w:rPr>
          <w:rFonts w:ascii="Times New Roman" w:hAnsi="Times New Roman" w:cs="Times New Roman"/>
          <w:sz w:val="24"/>
          <w:szCs w:val="24"/>
        </w:rPr>
        <w:t>,</w:t>
      </w:r>
      <w:r w:rsidRPr="00514582">
        <w:rPr>
          <w:rFonts w:ascii="Times New Roman" w:hAnsi="Times New Roman" w:cs="Times New Roman"/>
          <w:sz w:val="24"/>
          <w:szCs w:val="24"/>
        </w:rPr>
        <w:t>2</w:t>
      </w:r>
      <w:r>
        <w:rPr>
          <w:rFonts w:ascii="Times New Roman" w:hAnsi="Times New Roman" w:cs="Times New Roman"/>
          <w:sz w:val="24"/>
          <w:szCs w:val="24"/>
        </w:rPr>
        <w:t xml:space="preserve">: </w:t>
      </w:r>
      <w:r w:rsidRPr="00514582">
        <w:rPr>
          <w:rFonts w:ascii="Times New Roman" w:hAnsi="Times New Roman" w:cs="Times New Roman"/>
          <w:sz w:val="24"/>
          <w:szCs w:val="24"/>
        </w:rPr>
        <w:t>189-211.</w:t>
      </w:r>
      <w:r w:rsidR="00822482">
        <w:rPr>
          <w:rFonts w:ascii="Times New Roman" w:hAnsi="Times New Roman" w:cs="Times New Roman"/>
          <w:sz w:val="24"/>
          <w:szCs w:val="24"/>
        </w:rPr>
        <w:t xml:space="preserve">  </w:t>
      </w:r>
    </w:p>
    <w:p w14:paraId="3065835A" w14:textId="4EB3F698" w:rsidR="00822482" w:rsidRPr="00A910F9" w:rsidRDefault="00822482" w:rsidP="00822482">
      <w:pPr>
        <w:rPr>
          <w:rFonts w:ascii="Times New Roman" w:hAnsi="Times New Roman" w:cs="Times New Roman"/>
          <w:sz w:val="24"/>
          <w:szCs w:val="24"/>
        </w:rPr>
      </w:pPr>
      <w:r w:rsidRPr="00A910F9">
        <w:rPr>
          <w:rFonts w:ascii="Times New Roman" w:hAnsi="Times New Roman" w:cs="Times New Roman"/>
          <w:sz w:val="24"/>
          <w:szCs w:val="24"/>
        </w:rPr>
        <w:lastRenderedPageBreak/>
        <w:t xml:space="preserve">Alesina, Alberto, &amp; Roberto Perotti. (1996). Income Distribution, Political Instability, and Investment. </w:t>
      </w:r>
      <w:r w:rsidRPr="00A910F9">
        <w:rPr>
          <w:rFonts w:ascii="Times New Roman" w:hAnsi="Times New Roman" w:cs="Times New Roman"/>
          <w:i/>
          <w:iCs/>
          <w:sz w:val="24"/>
          <w:szCs w:val="24"/>
        </w:rPr>
        <w:t>European Economic Review,</w:t>
      </w:r>
      <w:r w:rsidRPr="00A910F9">
        <w:rPr>
          <w:rFonts w:ascii="Times New Roman" w:hAnsi="Times New Roman" w:cs="Times New Roman"/>
          <w:sz w:val="24"/>
          <w:szCs w:val="24"/>
        </w:rPr>
        <w:t xml:space="preserve"> 40(6), 1203-1228.</w:t>
      </w:r>
    </w:p>
    <w:p w14:paraId="2C9FA8C3" w14:textId="77777777" w:rsidR="00523868" w:rsidRPr="00295CCC" w:rsidRDefault="00523868" w:rsidP="001A1175">
      <w:pPr>
        <w:rPr>
          <w:rFonts w:ascii="Times New Roman" w:hAnsi="Times New Roman" w:cs="Times New Roman"/>
          <w:sz w:val="24"/>
          <w:szCs w:val="24"/>
        </w:rPr>
      </w:pPr>
      <w:r w:rsidRPr="00295CCC">
        <w:rPr>
          <w:rFonts w:ascii="Times New Roman" w:hAnsi="Times New Roman" w:cs="Times New Roman"/>
          <w:sz w:val="24"/>
          <w:szCs w:val="24"/>
        </w:rPr>
        <w:t xml:space="preserve">Arbetman, Marina, and Jacek Kugler (eds.). 2018. </w:t>
      </w:r>
      <w:r w:rsidRPr="00295CCC">
        <w:rPr>
          <w:rFonts w:ascii="Times New Roman" w:hAnsi="Times New Roman" w:cs="Times New Roman"/>
          <w:i/>
          <w:iCs/>
          <w:sz w:val="24"/>
          <w:szCs w:val="24"/>
        </w:rPr>
        <w:t>Political Capacity and Economic Behavior</w:t>
      </w:r>
      <w:r w:rsidRPr="00295CCC">
        <w:rPr>
          <w:rFonts w:ascii="Times New Roman" w:hAnsi="Times New Roman" w:cs="Times New Roman"/>
          <w:sz w:val="24"/>
          <w:szCs w:val="24"/>
        </w:rPr>
        <w:t xml:space="preserve">. New York: Routledge. </w:t>
      </w:r>
    </w:p>
    <w:p w14:paraId="15081D8A" w14:textId="73E8F300" w:rsidR="00DA2FF0" w:rsidRPr="00295CCC" w:rsidRDefault="000613C5" w:rsidP="001A1175">
      <w:pPr>
        <w:rPr>
          <w:rFonts w:ascii="Times New Roman" w:hAnsi="Times New Roman" w:cs="Times New Roman"/>
          <w:sz w:val="24"/>
          <w:szCs w:val="24"/>
        </w:rPr>
      </w:pPr>
      <w:r w:rsidRPr="00C15A86">
        <w:rPr>
          <w:rFonts w:ascii="Times New Roman" w:hAnsi="Times New Roman" w:cs="Times New Roman"/>
          <w:sz w:val="24"/>
          <w:szCs w:val="24"/>
        </w:rPr>
        <w:t>Blanco, L</w:t>
      </w:r>
      <w:r>
        <w:rPr>
          <w:rFonts w:ascii="Times New Roman" w:hAnsi="Times New Roman" w:cs="Times New Roman"/>
          <w:sz w:val="24"/>
          <w:szCs w:val="24"/>
        </w:rPr>
        <w:t>uisa</w:t>
      </w:r>
      <w:r w:rsidRPr="00C15A86">
        <w:rPr>
          <w:rFonts w:ascii="Times New Roman" w:hAnsi="Times New Roman" w:cs="Times New Roman"/>
          <w:sz w:val="24"/>
          <w:szCs w:val="24"/>
        </w:rPr>
        <w:t xml:space="preserve">, </w:t>
      </w:r>
      <w:r>
        <w:rPr>
          <w:rFonts w:ascii="Times New Roman" w:hAnsi="Times New Roman" w:cs="Times New Roman"/>
          <w:sz w:val="24"/>
          <w:szCs w:val="24"/>
        </w:rPr>
        <w:t xml:space="preserve">and Robin Grier. </w:t>
      </w:r>
      <w:r w:rsidRPr="00C15A86">
        <w:rPr>
          <w:rFonts w:ascii="Times New Roman" w:hAnsi="Times New Roman" w:cs="Times New Roman"/>
          <w:sz w:val="24"/>
          <w:szCs w:val="24"/>
        </w:rPr>
        <w:t>2008. </w:t>
      </w:r>
      <w:r>
        <w:rPr>
          <w:rFonts w:ascii="Times New Roman" w:hAnsi="Times New Roman" w:cs="Times New Roman"/>
          <w:sz w:val="24"/>
          <w:szCs w:val="24"/>
        </w:rPr>
        <w:t>“</w:t>
      </w:r>
      <w:r w:rsidRPr="00C15A86">
        <w:rPr>
          <w:rFonts w:ascii="Times New Roman" w:hAnsi="Times New Roman" w:cs="Times New Roman"/>
          <w:sz w:val="24"/>
          <w:szCs w:val="24"/>
        </w:rPr>
        <w:t xml:space="preserve">Long </w:t>
      </w:r>
      <w:r>
        <w:rPr>
          <w:rFonts w:ascii="Times New Roman" w:hAnsi="Times New Roman" w:cs="Times New Roman"/>
          <w:sz w:val="24"/>
          <w:szCs w:val="24"/>
        </w:rPr>
        <w:t>L</w:t>
      </w:r>
      <w:r w:rsidRPr="00C15A86">
        <w:rPr>
          <w:rFonts w:ascii="Times New Roman" w:hAnsi="Times New Roman" w:cs="Times New Roman"/>
          <w:sz w:val="24"/>
          <w:szCs w:val="24"/>
        </w:rPr>
        <w:t xml:space="preserve">ive </w:t>
      </w:r>
      <w:r>
        <w:rPr>
          <w:rFonts w:ascii="Times New Roman" w:hAnsi="Times New Roman" w:cs="Times New Roman"/>
          <w:sz w:val="24"/>
          <w:szCs w:val="24"/>
        </w:rPr>
        <w:t>D</w:t>
      </w:r>
      <w:r w:rsidRPr="00C15A86">
        <w:rPr>
          <w:rFonts w:ascii="Times New Roman" w:hAnsi="Times New Roman" w:cs="Times New Roman"/>
          <w:sz w:val="24"/>
          <w:szCs w:val="24"/>
        </w:rPr>
        <w:t xml:space="preserve">emocracy: The </w:t>
      </w:r>
      <w:r>
        <w:rPr>
          <w:rFonts w:ascii="Times New Roman" w:hAnsi="Times New Roman" w:cs="Times New Roman"/>
          <w:sz w:val="24"/>
          <w:szCs w:val="24"/>
        </w:rPr>
        <w:t>D</w:t>
      </w:r>
      <w:r w:rsidRPr="00C15A86">
        <w:rPr>
          <w:rFonts w:ascii="Times New Roman" w:hAnsi="Times New Roman" w:cs="Times New Roman"/>
          <w:sz w:val="24"/>
          <w:szCs w:val="24"/>
        </w:rPr>
        <w:t xml:space="preserve">eterminants of </w:t>
      </w:r>
      <w:r>
        <w:rPr>
          <w:rFonts w:ascii="Times New Roman" w:hAnsi="Times New Roman" w:cs="Times New Roman"/>
          <w:sz w:val="24"/>
          <w:szCs w:val="24"/>
        </w:rPr>
        <w:t>P</w:t>
      </w:r>
      <w:r w:rsidRPr="00C15A86">
        <w:rPr>
          <w:rFonts w:ascii="Times New Roman" w:hAnsi="Times New Roman" w:cs="Times New Roman"/>
          <w:sz w:val="24"/>
          <w:szCs w:val="24"/>
        </w:rPr>
        <w:t xml:space="preserve">olitical </w:t>
      </w:r>
      <w:r>
        <w:rPr>
          <w:rFonts w:ascii="Times New Roman" w:hAnsi="Times New Roman" w:cs="Times New Roman"/>
          <w:sz w:val="24"/>
          <w:szCs w:val="24"/>
        </w:rPr>
        <w:t>I</w:t>
      </w:r>
      <w:r w:rsidRPr="00C15A86">
        <w:rPr>
          <w:rFonts w:ascii="Times New Roman" w:hAnsi="Times New Roman" w:cs="Times New Roman"/>
          <w:sz w:val="24"/>
          <w:szCs w:val="24"/>
        </w:rPr>
        <w:t>nstability in Latin America.</w:t>
      </w:r>
      <w:r>
        <w:rPr>
          <w:rFonts w:ascii="Times New Roman" w:hAnsi="Times New Roman" w:cs="Times New Roman"/>
          <w:sz w:val="24"/>
          <w:szCs w:val="24"/>
        </w:rPr>
        <w:t>”</w:t>
      </w:r>
      <w:r w:rsidRPr="00C15A86">
        <w:rPr>
          <w:rFonts w:ascii="Times New Roman" w:hAnsi="Times New Roman" w:cs="Times New Roman"/>
          <w:sz w:val="24"/>
          <w:szCs w:val="24"/>
        </w:rPr>
        <w:t xml:space="preserve"> </w:t>
      </w:r>
      <w:r w:rsidRPr="00C15A86">
        <w:rPr>
          <w:rFonts w:ascii="Times New Roman" w:hAnsi="Times New Roman" w:cs="Times New Roman"/>
          <w:i/>
          <w:iCs/>
          <w:sz w:val="24"/>
          <w:szCs w:val="24"/>
        </w:rPr>
        <w:t>The Journal of Development Studies</w:t>
      </w:r>
      <w:r w:rsidRPr="00C15A86">
        <w:rPr>
          <w:rFonts w:ascii="Times New Roman" w:hAnsi="Times New Roman" w:cs="Times New Roman"/>
          <w:sz w:val="24"/>
          <w:szCs w:val="24"/>
        </w:rPr>
        <w:t>, 45</w:t>
      </w:r>
      <w:r>
        <w:rPr>
          <w:rFonts w:ascii="Times New Roman" w:hAnsi="Times New Roman" w:cs="Times New Roman"/>
          <w:sz w:val="24"/>
          <w:szCs w:val="24"/>
        </w:rPr>
        <w:t>,1:</w:t>
      </w:r>
      <w:r w:rsidRPr="00C15A86">
        <w:rPr>
          <w:rFonts w:ascii="Times New Roman" w:hAnsi="Times New Roman" w:cs="Times New Roman"/>
          <w:sz w:val="24"/>
          <w:szCs w:val="24"/>
        </w:rPr>
        <w:t> 76–95.</w:t>
      </w:r>
    </w:p>
    <w:p w14:paraId="504B6252" w14:textId="4EAC2B48" w:rsidR="007E3B78" w:rsidRPr="00295CCC" w:rsidRDefault="007E3B78" w:rsidP="001A1175">
      <w:pPr>
        <w:rPr>
          <w:rFonts w:ascii="Times New Roman" w:hAnsi="Times New Roman" w:cs="Times New Roman"/>
          <w:sz w:val="24"/>
          <w:szCs w:val="24"/>
        </w:rPr>
      </w:pPr>
      <w:r w:rsidRPr="00295CCC">
        <w:rPr>
          <w:rFonts w:ascii="Times New Roman" w:hAnsi="Times New Roman" w:cs="Times New Roman"/>
          <w:sz w:val="24"/>
          <w:szCs w:val="24"/>
        </w:rPr>
        <w:t xml:space="preserve">Baumgartner, Frank R., and Bryan D. Jones. 1993. </w:t>
      </w:r>
      <w:r w:rsidRPr="00295CCC">
        <w:rPr>
          <w:rFonts w:ascii="Times New Roman" w:hAnsi="Times New Roman" w:cs="Times New Roman"/>
          <w:i/>
          <w:iCs/>
          <w:sz w:val="24"/>
          <w:szCs w:val="24"/>
        </w:rPr>
        <w:t>Agendas and Instability in American Politics</w:t>
      </w:r>
      <w:r w:rsidRPr="00295CCC">
        <w:rPr>
          <w:rFonts w:ascii="Times New Roman" w:hAnsi="Times New Roman" w:cs="Times New Roman"/>
          <w:sz w:val="24"/>
          <w:szCs w:val="24"/>
        </w:rPr>
        <w:t>. Chicago: University of Chicago Press.</w:t>
      </w:r>
    </w:p>
    <w:p w14:paraId="6A68550D" w14:textId="20561EF5" w:rsidR="007E3B78" w:rsidRPr="00295CCC" w:rsidRDefault="007E3B78" w:rsidP="001A1175">
      <w:pPr>
        <w:rPr>
          <w:rFonts w:ascii="Times New Roman" w:hAnsi="Times New Roman" w:cs="Times New Roman"/>
          <w:sz w:val="24"/>
          <w:szCs w:val="24"/>
        </w:rPr>
      </w:pPr>
      <w:r w:rsidRPr="00295CCC">
        <w:rPr>
          <w:rFonts w:ascii="Times New Roman" w:hAnsi="Times New Roman" w:cs="Times New Roman"/>
          <w:sz w:val="24"/>
          <w:szCs w:val="24"/>
        </w:rPr>
        <w:t xml:space="preserve">Baumgartner, Frank R., and Bryan D. Jones (eds.). 2002. </w:t>
      </w:r>
      <w:r w:rsidRPr="00295CCC">
        <w:rPr>
          <w:rFonts w:ascii="Times New Roman" w:hAnsi="Times New Roman" w:cs="Times New Roman"/>
          <w:i/>
          <w:iCs/>
          <w:sz w:val="24"/>
          <w:szCs w:val="24"/>
        </w:rPr>
        <w:t>Policy Dynamics</w:t>
      </w:r>
      <w:r w:rsidRPr="00295CCC">
        <w:rPr>
          <w:rFonts w:ascii="Times New Roman" w:hAnsi="Times New Roman" w:cs="Times New Roman"/>
          <w:sz w:val="24"/>
          <w:szCs w:val="24"/>
        </w:rPr>
        <w:t>. Chicago: University of Chicago Press.</w:t>
      </w:r>
    </w:p>
    <w:p w14:paraId="22EE562D" w14:textId="20C7623D" w:rsidR="00D131F4" w:rsidRPr="00295CCC" w:rsidRDefault="00D131F4" w:rsidP="001A1175">
      <w:pPr>
        <w:rPr>
          <w:rFonts w:ascii="Times New Roman" w:hAnsi="Times New Roman" w:cs="Times New Roman"/>
          <w:sz w:val="24"/>
          <w:szCs w:val="24"/>
        </w:rPr>
      </w:pPr>
      <w:r w:rsidRPr="00295CCC">
        <w:rPr>
          <w:rFonts w:ascii="Times New Roman" w:hAnsi="Times New Roman" w:cs="Times New Roman"/>
          <w:sz w:val="24"/>
          <w:szCs w:val="24"/>
        </w:rPr>
        <w:t>Blavoukos, Spyros. 2019. “The multiple str</w:t>
      </w:r>
      <w:r w:rsidR="006A3D84">
        <w:rPr>
          <w:rFonts w:ascii="Times New Roman" w:hAnsi="Times New Roman" w:cs="Times New Roman"/>
          <w:sz w:val="24"/>
          <w:szCs w:val="24"/>
        </w:rPr>
        <w:t>e</w:t>
      </w:r>
      <w:r w:rsidRPr="00295CCC">
        <w:rPr>
          <w:rFonts w:ascii="Times New Roman" w:hAnsi="Times New Roman" w:cs="Times New Roman"/>
          <w:sz w:val="24"/>
          <w:szCs w:val="24"/>
        </w:rPr>
        <w:t xml:space="preserve">ams approach to foreign policy.” In </w:t>
      </w:r>
      <w:r w:rsidR="001612A0" w:rsidRPr="00295CCC">
        <w:rPr>
          <w:rFonts w:ascii="Times New Roman" w:hAnsi="Times New Roman" w:cs="Times New Roman"/>
          <w:sz w:val="24"/>
          <w:szCs w:val="24"/>
        </w:rPr>
        <w:t xml:space="preserve">Brummer et al. (eds.), </w:t>
      </w:r>
      <w:r w:rsidR="001612A0" w:rsidRPr="00295CCC">
        <w:rPr>
          <w:rFonts w:ascii="Times New Roman" w:hAnsi="Times New Roman" w:cs="Times New Roman"/>
          <w:i/>
          <w:iCs/>
          <w:sz w:val="24"/>
          <w:szCs w:val="24"/>
        </w:rPr>
        <w:t>Foreign Policy as Public Policy: Promises and Pitfalls</w:t>
      </w:r>
      <w:r w:rsidR="001612A0" w:rsidRPr="00295CCC">
        <w:rPr>
          <w:rFonts w:ascii="Times New Roman" w:hAnsi="Times New Roman" w:cs="Times New Roman"/>
          <w:sz w:val="24"/>
          <w:szCs w:val="24"/>
        </w:rPr>
        <w:t>. Manchester: Manchester University Press.</w:t>
      </w:r>
    </w:p>
    <w:p w14:paraId="2F28CB2C" w14:textId="0A15920A" w:rsidR="007E3B78" w:rsidRPr="00295CCC" w:rsidRDefault="007E3B78" w:rsidP="001A1175">
      <w:pPr>
        <w:rPr>
          <w:rFonts w:ascii="Times New Roman" w:hAnsi="Times New Roman" w:cs="Times New Roman"/>
          <w:sz w:val="24"/>
          <w:szCs w:val="24"/>
        </w:rPr>
      </w:pPr>
      <w:r w:rsidRPr="00295CCC">
        <w:rPr>
          <w:rFonts w:ascii="Times New Roman" w:hAnsi="Times New Roman" w:cs="Times New Roman"/>
          <w:sz w:val="24"/>
          <w:szCs w:val="24"/>
        </w:rPr>
        <w:t xml:space="preserve">Brummer, Klaus, Sebastian Harnisch, Kai Oppermann, and Diana Panke (eds.). 2019. </w:t>
      </w:r>
      <w:r w:rsidRPr="00295CCC">
        <w:rPr>
          <w:rFonts w:ascii="Times New Roman" w:hAnsi="Times New Roman" w:cs="Times New Roman"/>
          <w:i/>
          <w:iCs/>
          <w:sz w:val="24"/>
          <w:szCs w:val="24"/>
        </w:rPr>
        <w:t>Foreign Policy as Public Policy? Promises and Pitfalls</w:t>
      </w:r>
      <w:r w:rsidRPr="00295CCC">
        <w:rPr>
          <w:rFonts w:ascii="Times New Roman" w:hAnsi="Times New Roman" w:cs="Times New Roman"/>
          <w:sz w:val="24"/>
          <w:szCs w:val="24"/>
        </w:rPr>
        <w:t>.  Manchester: Manchester University Press.</w:t>
      </w:r>
    </w:p>
    <w:p w14:paraId="42CB1714" w14:textId="4BDC25D1" w:rsidR="00594D8D" w:rsidRPr="00266215" w:rsidRDefault="00EE29E2" w:rsidP="00594D8D">
      <w:pPr>
        <w:rPr>
          <w:rFonts w:ascii="Times New Roman" w:hAnsi="Times New Roman" w:cs="Times New Roman"/>
          <w:sz w:val="24"/>
          <w:szCs w:val="24"/>
          <w:shd w:val="clear" w:color="auto" w:fill="FFFFFF"/>
        </w:rPr>
      </w:pPr>
      <w:r w:rsidRPr="00266215">
        <w:rPr>
          <w:rFonts w:ascii="Times New Roman" w:hAnsi="Times New Roman" w:cs="Times New Roman"/>
          <w:sz w:val="24"/>
          <w:szCs w:val="24"/>
          <w:shd w:val="clear" w:color="auto" w:fill="FFFFFF"/>
        </w:rPr>
        <w:t>Bueno de Mesquita, Bruce, Alastair Smith, Randolph M. Siverson, and James. D. Morrow. </w:t>
      </w:r>
      <w:r w:rsidRPr="00266215">
        <w:rPr>
          <w:rStyle w:val="nlmyear"/>
          <w:rFonts w:ascii="Times New Roman" w:hAnsi="Times New Roman" w:cs="Times New Roman"/>
          <w:sz w:val="24"/>
          <w:szCs w:val="24"/>
          <w:shd w:val="clear" w:color="auto" w:fill="FFFFFF"/>
        </w:rPr>
        <w:t>2003</w:t>
      </w:r>
      <w:r w:rsidRPr="00266215">
        <w:rPr>
          <w:rFonts w:ascii="Times New Roman" w:hAnsi="Times New Roman" w:cs="Times New Roman"/>
          <w:sz w:val="24"/>
          <w:szCs w:val="24"/>
          <w:shd w:val="clear" w:color="auto" w:fill="FFFFFF"/>
        </w:rPr>
        <w:t xml:space="preserve">. </w:t>
      </w:r>
      <w:r w:rsidRPr="00266215">
        <w:rPr>
          <w:rFonts w:ascii="Times New Roman" w:hAnsi="Times New Roman" w:cs="Times New Roman"/>
          <w:i/>
          <w:iCs/>
          <w:sz w:val="24"/>
          <w:szCs w:val="24"/>
          <w:shd w:val="clear" w:color="auto" w:fill="FFFFFF"/>
        </w:rPr>
        <w:t>The Logic of Political Survival</w:t>
      </w:r>
      <w:r w:rsidRPr="00266215">
        <w:rPr>
          <w:rFonts w:ascii="Times New Roman" w:hAnsi="Times New Roman" w:cs="Times New Roman"/>
          <w:sz w:val="24"/>
          <w:szCs w:val="24"/>
          <w:shd w:val="clear" w:color="auto" w:fill="FFFFFF"/>
        </w:rPr>
        <w:t>. Cambridge: </w:t>
      </w:r>
      <w:r w:rsidRPr="00266215">
        <w:rPr>
          <w:rStyle w:val="nlmpublisher-name"/>
          <w:rFonts w:ascii="Times New Roman" w:hAnsi="Times New Roman" w:cs="Times New Roman"/>
          <w:sz w:val="24"/>
          <w:szCs w:val="24"/>
          <w:shd w:val="clear" w:color="auto" w:fill="FFFFFF"/>
        </w:rPr>
        <w:t>MIT Press</w:t>
      </w:r>
      <w:r w:rsidRPr="00266215">
        <w:rPr>
          <w:rFonts w:ascii="Times New Roman" w:hAnsi="Times New Roman" w:cs="Times New Roman"/>
          <w:sz w:val="24"/>
          <w:szCs w:val="24"/>
          <w:shd w:val="clear" w:color="auto" w:fill="FFFFFF"/>
        </w:rPr>
        <w:t>.</w:t>
      </w:r>
      <w:r w:rsidR="00227BD0" w:rsidRPr="00266215">
        <w:rPr>
          <w:rFonts w:ascii="Times New Roman" w:hAnsi="Times New Roman" w:cs="Times New Roman"/>
          <w:sz w:val="24"/>
          <w:szCs w:val="24"/>
          <w:shd w:val="clear" w:color="auto" w:fill="FFFFFF"/>
        </w:rPr>
        <w:t xml:space="preserve"> </w:t>
      </w:r>
      <w:r w:rsidR="00594D8D" w:rsidRPr="00266215">
        <w:rPr>
          <w:rFonts w:ascii="Times New Roman" w:hAnsi="Times New Roman" w:cs="Times New Roman"/>
          <w:sz w:val="24"/>
          <w:szCs w:val="24"/>
          <w:shd w:val="clear" w:color="auto" w:fill="FFFFFF"/>
        </w:rPr>
        <w:t xml:space="preserve"> </w:t>
      </w:r>
    </w:p>
    <w:p w14:paraId="78C86B3F" w14:textId="526D365B" w:rsidR="00594D8D" w:rsidRDefault="00594D8D" w:rsidP="00594D8D">
      <w:pPr>
        <w:rPr>
          <w:rFonts w:ascii="Times New Roman" w:hAnsi="Times New Roman" w:cs="Times New Roman"/>
          <w:sz w:val="24"/>
          <w:szCs w:val="24"/>
        </w:rPr>
      </w:pPr>
      <w:r>
        <w:rPr>
          <w:rFonts w:ascii="Times New Roman" w:hAnsi="Times New Roman" w:cs="Times New Roman"/>
          <w:sz w:val="24"/>
          <w:szCs w:val="24"/>
        </w:rPr>
        <w:t xml:space="preserve">Cameron, A. Colin, and Pravin K. Trivedi. (2009). </w:t>
      </w:r>
      <w:r w:rsidRPr="00AF01FD">
        <w:rPr>
          <w:rFonts w:ascii="Times New Roman" w:hAnsi="Times New Roman" w:cs="Times New Roman"/>
          <w:i/>
          <w:iCs/>
          <w:sz w:val="24"/>
          <w:szCs w:val="24"/>
        </w:rPr>
        <w:t>Microeconometrics Using Stata</w:t>
      </w:r>
      <w:r>
        <w:rPr>
          <w:rFonts w:ascii="Times New Roman" w:hAnsi="Times New Roman" w:cs="Times New Roman"/>
          <w:sz w:val="24"/>
          <w:szCs w:val="24"/>
        </w:rPr>
        <w:t xml:space="preserve">. College Station, TX: Stata Press. </w:t>
      </w:r>
    </w:p>
    <w:p w14:paraId="3E9F4118" w14:textId="51BB6109" w:rsidR="00227BD0" w:rsidRDefault="00594D8D" w:rsidP="00227BD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227BD0" w:rsidRPr="00227BD0">
        <w:rPr>
          <w:rFonts w:ascii="Times New Roman" w:hAnsi="Times New Roman" w:cs="Times New Roman"/>
          <w:sz w:val="24"/>
          <w:szCs w:val="24"/>
          <w:shd w:val="clear" w:color="auto" w:fill="FFFFFF"/>
        </w:rPr>
        <w:t xml:space="preserve">Cingranelli, David L., </w:t>
      </w:r>
      <w:r w:rsidR="00227BD0">
        <w:rPr>
          <w:rFonts w:ascii="Times New Roman" w:hAnsi="Times New Roman" w:cs="Times New Roman"/>
          <w:sz w:val="24"/>
          <w:szCs w:val="24"/>
          <w:shd w:val="clear" w:color="auto" w:fill="FFFFFF"/>
        </w:rPr>
        <w:t xml:space="preserve">and </w:t>
      </w:r>
      <w:r w:rsidR="00227BD0" w:rsidRPr="00227BD0">
        <w:rPr>
          <w:rFonts w:ascii="Times New Roman" w:hAnsi="Times New Roman" w:cs="Times New Roman"/>
          <w:sz w:val="24"/>
          <w:szCs w:val="24"/>
          <w:shd w:val="clear" w:color="auto" w:fill="FFFFFF"/>
        </w:rPr>
        <w:t xml:space="preserve">David L. Richards. 1999. </w:t>
      </w:r>
      <w:r w:rsidR="00227BD0">
        <w:rPr>
          <w:rFonts w:ascii="Times New Roman" w:hAnsi="Times New Roman" w:cs="Times New Roman"/>
          <w:sz w:val="24"/>
          <w:szCs w:val="24"/>
          <w:shd w:val="clear" w:color="auto" w:fill="FFFFFF"/>
        </w:rPr>
        <w:t>“</w:t>
      </w:r>
      <w:r w:rsidR="00227BD0" w:rsidRPr="00227BD0">
        <w:rPr>
          <w:rFonts w:ascii="Times New Roman" w:hAnsi="Times New Roman" w:cs="Times New Roman"/>
          <w:sz w:val="24"/>
          <w:szCs w:val="24"/>
          <w:shd w:val="clear" w:color="auto" w:fill="FFFFFF"/>
        </w:rPr>
        <w:t>Measuring the Level, Pattern, and Sequence of Government Respect for Physical Integrity Rights.</w:t>
      </w:r>
      <w:r w:rsidR="00227BD0">
        <w:rPr>
          <w:rFonts w:ascii="Times New Roman" w:hAnsi="Times New Roman" w:cs="Times New Roman"/>
          <w:sz w:val="24"/>
          <w:szCs w:val="24"/>
          <w:shd w:val="clear" w:color="auto" w:fill="FFFFFF"/>
        </w:rPr>
        <w:t>”</w:t>
      </w:r>
      <w:r w:rsidR="00227BD0" w:rsidRPr="00227BD0">
        <w:rPr>
          <w:rFonts w:ascii="Times New Roman" w:hAnsi="Times New Roman" w:cs="Times New Roman"/>
          <w:sz w:val="24"/>
          <w:szCs w:val="24"/>
          <w:shd w:val="clear" w:color="auto" w:fill="FFFFFF"/>
        </w:rPr>
        <w:t xml:space="preserve"> </w:t>
      </w:r>
      <w:r w:rsidR="00227BD0" w:rsidRPr="00227BD0">
        <w:rPr>
          <w:rFonts w:ascii="Times New Roman" w:hAnsi="Times New Roman" w:cs="Times New Roman"/>
          <w:i/>
          <w:iCs/>
          <w:sz w:val="24"/>
          <w:szCs w:val="24"/>
          <w:shd w:val="clear" w:color="auto" w:fill="FFFFFF"/>
        </w:rPr>
        <w:t>International Studies</w:t>
      </w:r>
      <w:r w:rsidR="00227BD0" w:rsidRPr="00227BD0">
        <w:rPr>
          <w:rFonts w:ascii="Times New Roman" w:hAnsi="Times New Roman" w:cs="Times New Roman"/>
          <w:sz w:val="24"/>
          <w:szCs w:val="24"/>
          <w:shd w:val="clear" w:color="auto" w:fill="FFFFFF"/>
        </w:rPr>
        <w:t xml:space="preserve"> </w:t>
      </w:r>
      <w:r w:rsidR="00227BD0" w:rsidRPr="00227BD0">
        <w:rPr>
          <w:rFonts w:ascii="Times New Roman" w:hAnsi="Times New Roman" w:cs="Times New Roman"/>
          <w:i/>
          <w:iCs/>
          <w:sz w:val="24"/>
          <w:szCs w:val="24"/>
          <w:shd w:val="clear" w:color="auto" w:fill="FFFFFF"/>
        </w:rPr>
        <w:t>Quarterly,</w:t>
      </w:r>
      <w:r w:rsidR="00227BD0" w:rsidRPr="00227BD0">
        <w:rPr>
          <w:rFonts w:ascii="Times New Roman" w:hAnsi="Times New Roman" w:cs="Times New Roman"/>
          <w:sz w:val="24"/>
          <w:szCs w:val="24"/>
          <w:shd w:val="clear" w:color="auto" w:fill="FFFFFF"/>
        </w:rPr>
        <w:t xml:space="preserve"> 43(2), 407-417. </w:t>
      </w:r>
    </w:p>
    <w:p w14:paraId="0F38D16E" w14:textId="77777777" w:rsidR="00822482" w:rsidRDefault="00227BD0" w:rsidP="0082248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w:t>
      </w:r>
      <w:r w:rsidRPr="00227BD0">
        <w:rPr>
          <w:rFonts w:ascii="Times New Roman" w:hAnsi="Times New Roman" w:cs="Times New Roman"/>
          <w:sz w:val="24"/>
          <w:szCs w:val="24"/>
          <w:shd w:val="clear" w:color="auto" w:fill="FFFFFF"/>
        </w:rPr>
        <w:t xml:space="preserve">ingranelli, David L., David L. Richards, </w:t>
      </w:r>
      <w:r>
        <w:rPr>
          <w:rFonts w:ascii="Times New Roman" w:hAnsi="Times New Roman" w:cs="Times New Roman"/>
          <w:sz w:val="24"/>
          <w:szCs w:val="24"/>
          <w:shd w:val="clear" w:color="auto" w:fill="FFFFFF"/>
        </w:rPr>
        <w:t xml:space="preserve">and </w:t>
      </w:r>
      <w:r w:rsidRPr="00227BD0">
        <w:rPr>
          <w:rFonts w:ascii="Times New Roman" w:hAnsi="Times New Roman" w:cs="Times New Roman"/>
          <w:sz w:val="24"/>
          <w:szCs w:val="24"/>
          <w:shd w:val="clear" w:color="auto" w:fill="FFFFFF"/>
        </w:rPr>
        <w:t xml:space="preserve">K. Chad Clay. 2014. </w:t>
      </w:r>
      <w:r w:rsidRPr="00227BD0">
        <w:rPr>
          <w:rFonts w:ascii="Times New Roman" w:hAnsi="Times New Roman" w:cs="Times New Roman"/>
          <w:i/>
          <w:iCs/>
          <w:sz w:val="24"/>
          <w:szCs w:val="24"/>
          <w:shd w:val="clear" w:color="auto" w:fill="FFFFFF"/>
        </w:rPr>
        <w:t>The CIRI Human Rights Dataset</w:t>
      </w:r>
      <w:r w:rsidRPr="00227BD0">
        <w:rPr>
          <w:rFonts w:ascii="Times New Roman" w:hAnsi="Times New Roman" w:cs="Times New Roman"/>
          <w:sz w:val="24"/>
          <w:szCs w:val="24"/>
          <w:shd w:val="clear" w:color="auto" w:fill="FFFFFF"/>
        </w:rPr>
        <w:t>. http://www.humanrightsdata.com. Version 2014.04.14.</w:t>
      </w:r>
      <w:r>
        <w:rPr>
          <w:rFonts w:ascii="Times New Roman" w:hAnsi="Times New Roman" w:cs="Times New Roman"/>
          <w:sz w:val="24"/>
          <w:szCs w:val="24"/>
          <w:shd w:val="clear" w:color="auto" w:fill="FFFFFF"/>
        </w:rPr>
        <w:t xml:space="preserve"> </w:t>
      </w:r>
    </w:p>
    <w:p w14:paraId="0AA68D67" w14:textId="476BD78B" w:rsidR="00822482" w:rsidRPr="004321F0" w:rsidRDefault="00822482" w:rsidP="0082248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Danneman, Nathan, and Emily Hencken Ritter. 2013. “Contagious Rebellion and Preemptive Repression.” </w:t>
      </w:r>
      <w:r>
        <w:rPr>
          <w:rFonts w:ascii="Times New Roman" w:hAnsi="Times New Roman" w:cs="Times New Roman"/>
          <w:i/>
          <w:iCs/>
          <w:sz w:val="24"/>
          <w:szCs w:val="24"/>
          <w:shd w:val="clear" w:color="auto" w:fill="FFFFFF"/>
        </w:rPr>
        <w:t xml:space="preserve">Journal of Conflict Resolution, </w:t>
      </w:r>
      <w:r>
        <w:rPr>
          <w:rFonts w:ascii="Times New Roman" w:hAnsi="Times New Roman" w:cs="Times New Roman"/>
          <w:sz w:val="24"/>
          <w:szCs w:val="24"/>
          <w:shd w:val="clear" w:color="auto" w:fill="FFFFFF"/>
        </w:rPr>
        <w:t xml:space="preserve">58(2), 254-279. </w:t>
      </w:r>
    </w:p>
    <w:p w14:paraId="328B4C4F" w14:textId="77777777" w:rsidR="00822482" w:rsidRDefault="00822482" w:rsidP="00822482">
      <w:pPr>
        <w:rPr>
          <w:rFonts w:ascii="Times New Roman" w:hAnsi="Times New Roman" w:cs="Times New Roman"/>
          <w:sz w:val="24"/>
          <w:szCs w:val="24"/>
        </w:rPr>
      </w:pPr>
      <w:r>
        <w:rPr>
          <w:rFonts w:ascii="Times New Roman" w:hAnsi="Times New Roman" w:cs="Times New Roman"/>
          <w:sz w:val="24"/>
          <w:szCs w:val="24"/>
        </w:rPr>
        <w:t xml:space="preserve">Davenport, Christian. 1995. “Multi-Dimensional Threat Perception and State Repression: An Inquiry Into Why States Apply Negative Sanctions.” </w:t>
      </w:r>
      <w:r>
        <w:rPr>
          <w:rFonts w:ascii="Times New Roman" w:hAnsi="Times New Roman" w:cs="Times New Roman"/>
          <w:i/>
          <w:iCs/>
          <w:sz w:val="24"/>
          <w:szCs w:val="24"/>
        </w:rPr>
        <w:t xml:space="preserve">American Journal of Political Science, </w:t>
      </w:r>
      <w:r>
        <w:rPr>
          <w:rFonts w:ascii="Times New Roman" w:hAnsi="Times New Roman" w:cs="Times New Roman"/>
          <w:sz w:val="24"/>
          <w:szCs w:val="24"/>
        </w:rPr>
        <w:t xml:space="preserve">39(3), 683-713. </w:t>
      </w:r>
    </w:p>
    <w:p w14:paraId="24FB4CC4" w14:textId="54A9FDA9" w:rsidR="00822482" w:rsidRPr="00A95FF0" w:rsidRDefault="00822482" w:rsidP="00822482">
      <w:pPr>
        <w:rPr>
          <w:rFonts w:ascii="Times New Roman" w:hAnsi="Times New Roman" w:cs="Times New Roman"/>
          <w:sz w:val="24"/>
          <w:szCs w:val="24"/>
        </w:rPr>
      </w:pPr>
      <w:r w:rsidRPr="00A95FF0">
        <w:rPr>
          <w:rFonts w:ascii="Times New Roman" w:hAnsi="Times New Roman" w:cs="Times New Roman"/>
          <w:sz w:val="24"/>
          <w:szCs w:val="24"/>
          <w:shd w:val="clear" w:color="auto" w:fill="FFFFFF"/>
        </w:rPr>
        <w:t xml:space="preserve">Davenport, Christian. 2007. </w:t>
      </w:r>
      <w:r>
        <w:rPr>
          <w:rFonts w:ascii="Times New Roman" w:hAnsi="Times New Roman" w:cs="Times New Roman"/>
          <w:sz w:val="24"/>
          <w:szCs w:val="24"/>
          <w:shd w:val="clear" w:color="auto" w:fill="FFFFFF"/>
        </w:rPr>
        <w:t>“</w:t>
      </w:r>
      <w:r w:rsidRPr="00A95FF0">
        <w:rPr>
          <w:rFonts w:ascii="Times New Roman" w:hAnsi="Times New Roman" w:cs="Times New Roman"/>
          <w:sz w:val="24"/>
          <w:szCs w:val="24"/>
          <w:shd w:val="clear" w:color="auto" w:fill="FFFFFF"/>
        </w:rPr>
        <w:t>State Repression and Political Order.</w:t>
      </w:r>
      <w:r>
        <w:rPr>
          <w:rFonts w:ascii="Times New Roman" w:hAnsi="Times New Roman" w:cs="Times New Roman"/>
          <w:sz w:val="24"/>
          <w:szCs w:val="24"/>
          <w:shd w:val="clear" w:color="auto" w:fill="FFFFFF"/>
        </w:rPr>
        <w:t>”</w:t>
      </w:r>
      <w:r w:rsidRPr="00A95FF0">
        <w:rPr>
          <w:rFonts w:ascii="Times New Roman" w:hAnsi="Times New Roman" w:cs="Times New Roman"/>
          <w:sz w:val="24"/>
          <w:szCs w:val="24"/>
          <w:shd w:val="clear" w:color="auto" w:fill="FFFFFF"/>
        </w:rPr>
        <w:t xml:space="preserve"> </w:t>
      </w:r>
      <w:r w:rsidRPr="00A95FF0">
        <w:rPr>
          <w:rFonts w:ascii="Times New Roman" w:hAnsi="Times New Roman" w:cs="Times New Roman"/>
          <w:i/>
          <w:iCs/>
          <w:sz w:val="24"/>
          <w:szCs w:val="24"/>
          <w:shd w:val="clear" w:color="auto" w:fill="FFFFFF"/>
        </w:rPr>
        <w:t>Annual Review of Political Science</w:t>
      </w:r>
      <w:r w:rsidRPr="00A95FF0">
        <w:rPr>
          <w:rFonts w:ascii="Times New Roman" w:hAnsi="Times New Roman" w:cs="Times New Roman"/>
          <w:sz w:val="24"/>
          <w:szCs w:val="24"/>
          <w:shd w:val="clear" w:color="auto" w:fill="FFFFFF"/>
        </w:rPr>
        <w:t>, 10(1), 1-23.</w:t>
      </w:r>
    </w:p>
    <w:p w14:paraId="5008A6BE" w14:textId="527FF176" w:rsidR="001612A0" w:rsidRPr="00295CCC" w:rsidRDefault="001612A0" w:rsidP="001A1175">
      <w:pPr>
        <w:rPr>
          <w:rFonts w:ascii="Times New Roman" w:hAnsi="Times New Roman" w:cs="Times New Roman"/>
          <w:sz w:val="24"/>
          <w:szCs w:val="24"/>
        </w:rPr>
      </w:pPr>
      <w:r w:rsidRPr="00295CCC">
        <w:rPr>
          <w:rFonts w:ascii="Times New Roman" w:hAnsi="Times New Roman" w:cs="Times New Roman"/>
          <w:color w:val="333333"/>
          <w:sz w:val="24"/>
          <w:szCs w:val="24"/>
          <w:shd w:val="clear" w:color="auto" w:fill="FFFFFF"/>
        </w:rPr>
        <w:t xml:space="preserve">Delreux, Tom. 2015. “Bureaucratic Politics, New Institutionalism and Principal-Agent Models.” In Knud E. Jorgensen et al. (eds), </w:t>
      </w:r>
      <w:r w:rsidRPr="00295CCC">
        <w:rPr>
          <w:rFonts w:ascii="Times New Roman" w:hAnsi="Times New Roman" w:cs="Times New Roman"/>
          <w:i/>
          <w:iCs/>
          <w:color w:val="333333"/>
          <w:sz w:val="24"/>
          <w:szCs w:val="24"/>
          <w:shd w:val="clear" w:color="auto" w:fill="FFFFFF"/>
        </w:rPr>
        <w:t>The SAGE Handbook of European Foreign Policy</w:t>
      </w:r>
      <w:r w:rsidRPr="00295CCC">
        <w:rPr>
          <w:rFonts w:ascii="Times New Roman" w:hAnsi="Times New Roman" w:cs="Times New Roman"/>
          <w:color w:val="333333"/>
          <w:sz w:val="24"/>
          <w:szCs w:val="24"/>
          <w:shd w:val="clear" w:color="auto" w:fill="FFFFFF"/>
        </w:rPr>
        <w:t>, London: Sage.</w:t>
      </w:r>
    </w:p>
    <w:p w14:paraId="0B6F1970" w14:textId="4B762AE8" w:rsidR="00194219" w:rsidRPr="00295CCC" w:rsidRDefault="00194219" w:rsidP="001A1175">
      <w:pPr>
        <w:rPr>
          <w:rFonts w:ascii="Times New Roman" w:hAnsi="Times New Roman" w:cs="Times New Roman"/>
          <w:sz w:val="24"/>
          <w:szCs w:val="24"/>
        </w:rPr>
      </w:pPr>
      <w:r w:rsidRPr="00295CCC">
        <w:rPr>
          <w:rFonts w:ascii="Times New Roman" w:hAnsi="Times New Roman" w:cs="Times New Roman"/>
          <w:sz w:val="24"/>
          <w:szCs w:val="24"/>
        </w:rPr>
        <w:lastRenderedPageBreak/>
        <w:t xml:space="preserve">Diehl, Paul F. and Gary Goertz. 2001. </w:t>
      </w:r>
      <w:r w:rsidRPr="00295CCC">
        <w:rPr>
          <w:rFonts w:ascii="Times New Roman" w:hAnsi="Times New Roman" w:cs="Times New Roman"/>
          <w:i/>
          <w:iCs/>
          <w:sz w:val="24"/>
          <w:szCs w:val="24"/>
        </w:rPr>
        <w:t>War and Peace in International Rivalry</w:t>
      </w:r>
      <w:r w:rsidRPr="00295CCC">
        <w:rPr>
          <w:rFonts w:ascii="Times New Roman" w:hAnsi="Times New Roman" w:cs="Times New Roman"/>
          <w:sz w:val="24"/>
          <w:szCs w:val="24"/>
        </w:rPr>
        <w:t>. Ann Arbor: University of Michigan Press.</w:t>
      </w:r>
    </w:p>
    <w:p w14:paraId="65E0D026" w14:textId="5E66BAEE" w:rsidR="00C66BBE" w:rsidRPr="00295CCC" w:rsidRDefault="00C66BBE" w:rsidP="001A1175">
      <w:pPr>
        <w:rPr>
          <w:rFonts w:ascii="Times New Roman" w:hAnsi="Times New Roman" w:cs="Times New Roman"/>
          <w:sz w:val="24"/>
          <w:szCs w:val="24"/>
        </w:rPr>
      </w:pPr>
      <w:bookmarkStart w:id="15" w:name="_Hlk72848454"/>
      <w:r w:rsidRPr="00295CCC">
        <w:rPr>
          <w:rFonts w:ascii="Times New Roman" w:hAnsi="Times New Roman" w:cs="Times New Roman"/>
          <w:sz w:val="24"/>
          <w:szCs w:val="24"/>
        </w:rPr>
        <w:t>Eldredge, Nil</w:t>
      </w:r>
      <w:r w:rsidR="00AC6218" w:rsidRPr="00295CCC">
        <w:rPr>
          <w:rFonts w:ascii="Times New Roman" w:hAnsi="Times New Roman" w:cs="Times New Roman"/>
          <w:sz w:val="24"/>
          <w:szCs w:val="24"/>
        </w:rPr>
        <w:t>e</w:t>
      </w:r>
      <w:r w:rsidRPr="00295CCC">
        <w:rPr>
          <w:rFonts w:ascii="Times New Roman" w:hAnsi="Times New Roman" w:cs="Times New Roman"/>
          <w:sz w:val="24"/>
          <w:szCs w:val="24"/>
        </w:rPr>
        <w:t xml:space="preserve">s. 1985. </w:t>
      </w:r>
      <w:r w:rsidRPr="00295CCC">
        <w:rPr>
          <w:rFonts w:ascii="Times New Roman" w:hAnsi="Times New Roman" w:cs="Times New Roman"/>
          <w:i/>
          <w:iCs/>
          <w:sz w:val="24"/>
          <w:szCs w:val="24"/>
        </w:rPr>
        <w:t>Time Frames: The Evolution of Punctuated Equilibria</w:t>
      </w:r>
      <w:r w:rsidRPr="00295CCC">
        <w:rPr>
          <w:rFonts w:ascii="Times New Roman" w:hAnsi="Times New Roman" w:cs="Times New Roman"/>
          <w:sz w:val="24"/>
          <w:szCs w:val="24"/>
        </w:rPr>
        <w:t>. Princeton: Princeton University Press.</w:t>
      </w:r>
    </w:p>
    <w:p w14:paraId="261E35EC" w14:textId="2956DB09" w:rsidR="00AC6218" w:rsidRPr="00295CCC" w:rsidRDefault="00AC6218" w:rsidP="001A1175">
      <w:pPr>
        <w:rPr>
          <w:rFonts w:ascii="Times New Roman" w:hAnsi="Times New Roman" w:cs="Times New Roman"/>
          <w:sz w:val="24"/>
          <w:szCs w:val="24"/>
        </w:rPr>
      </w:pPr>
      <w:r w:rsidRPr="00295CCC">
        <w:rPr>
          <w:rFonts w:ascii="Times New Roman" w:hAnsi="Times New Roman" w:cs="Times New Roman"/>
          <w:sz w:val="24"/>
          <w:szCs w:val="24"/>
        </w:rPr>
        <w:t>Eldredge, Niles. 1995. Reinventing Darwin: The Great Evolutionary Debate. New Yor</w:t>
      </w:r>
      <w:r w:rsidR="000613C5">
        <w:rPr>
          <w:rFonts w:ascii="Times New Roman" w:hAnsi="Times New Roman" w:cs="Times New Roman"/>
          <w:sz w:val="24"/>
          <w:szCs w:val="24"/>
        </w:rPr>
        <w:t>k</w:t>
      </w:r>
      <w:r w:rsidRPr="00295CCC">
        <w:rPr>
          <w:rFonts w:ascii="Times New Roman" w:hAnsi="Times New Roman" w:cs="Times New Roman"/>
          <w:sz w:val="24"/>
          <w:szCs w:val="24"/>
        </w:rPr>
        <w:t>: John Wiley and Sons.</w:t>
      </w:r>
    </w:p>
    <w:p w14:paraId="16E86FBC" w14:textId="5D8017D5" w:rsidR="009C6180" w:rsidRDefault="00C66BBE" w:rsidP="001A1175">
      <w:pPr>
        <w:rPr>
          <w:rFonts w:ascii="Times New Roman" w:hAnsi="Times New Roman" w:cs="Times New Roman"/>
          <w:sz w:val="24"/>
          <w:szCs w:val="24"/>
        </w:rPr>
      </w:pPr>
      <w:r w:rsidRPr="00295CCC">
        <w:rPr>
          <w:rFonts w:ascii="Times New Roman" w:hAnsi="Times New Roman" w:cs="Times New Roman"/>
          <w:sz w:val="24"/>
          <w:szCs w:val="24"/>
        </w:rPr>
        <w:t xml:space="preserve">Eldredge, Nils, and Stephen Gould. 1972. “Punctuated Equilibria: An Alternative to Phyletic Gradualism.” In Thomas Schopf (ed.), </w:t>
      </w:r>
      <w:r w:rsidRPr="00295CCC">
        <w:rPr>
          <w:rFonts w:ascii="Times New Roman" w:hAnsi="Times New Roman" w:cs="Times New Roman"/>
          <w:i/>
          <w:iCs/>
          <w:sz w:val="24"/>
          <w:szCs w:val="24"/>
        </w:rPr>
        <w:t>Models In Paleobiology</w:t>
      </w:r>
      <w:r w:rsidRPr="00295CCC">
        <w:rPr>
          <w:rFonts w:ascii="Times New Roman" w:hAnsi="Times New Roman" w:cs="Times New Roman"/>
          <w:sz w:val="24"/>
          <w:szCs w:val="24"/>
        </w:rPr>
        <w:t xml:space="preserve">. San Francisco: Freeman, </w:t>
      </w:r>
      <w:r w:rsidR="009C6180">
        <w:rPr>
          <w:rFonts w:ascii="Times New Roman" w:hAnsi="Times New Roman" w:cs="Times New Roman"/>
          <w:sz w:val="24"/>
          <w:szCs w:val="24"/>
        </w:rPr>
        <w:t>Cooper.</w:t>
      </w:r>
    </w:p>
    <w:p w14:paraId="3789109C" w14:textId="258EC555" w:rsidR="00C66BBE" w:rsidRDefault="009C6180" w:rsidP="001A1175">
      <w:pPr>
        <w:rPr>
          <w:rFonts w:ascii="Times New Roman" w:hAnsi="Times New Roman" w:cs="Times New Roman"/>
          <w:sz w:val="24"/>
          <w:szCs w:val="24"/>
        </w:rPr>
      </w:pPr>
      <w:r>
        <w:rPr>
          <w:rFonts w:ascii="Times New Roman" w:hAnsi="Times New Roman" w:cs="Times New Roman"/>
          <w:sz w:val="24"/>
          <w:szCs w:val="24"/>
        </w:rPr>
        <w:t xml:space="preserve">Glaser, Charles L. 1997. “The Security Dilemma Revisited.” </w:t>
      </w:r>
      <w:r w:rsidRPr="009C6180">
        <w:rPr>
          <w:rFonts w:ascii="Times New Roman" w:hAnsi="Times New Roman" w:cs="Times New Roman"/>
          <w:i/>
          <w:iCs/>
          <w:sz w:val="24"/>
          <w:szCs w:val="24"/>
        </w:rPr>
        <w:t>World Politics</w:t>
      </w:r>
      <w:r>
        <w:rPr>
          <w:rFonts w:ascii="Times New Roman" w:hAnsi="Times New Roman" w:cs="Times New Roman"/>
          <w:sz w:val="24"/>
          <w:szCs w:val="24"/>
        </w:rPr>
        <w:t>, 50, 1: 171-201.</w:t>
      </w:r>
    </w:p>
    <w:bookmarkEnd w:id="15"/>
    <w:p w14:paraId="1E222E1F" w14:textId="35404E7A" w:rsidR="00194219" w:rsidRPr="00295CCC" w:rsidRDefault="00194219" w:rsidP="001A1175">
      <w:pPr>
        <w:rPr>
          <w:rFonts w:ascii="Times New Roman" w:hAnsi="Times New Roman" w:cs="Times New Roman"/>
          <w:sz w:val="24"/>
          <w:szCs w:val="24"/>
        </w:rPr>
      </w:pPr>
      <w:r w:rsidRPr="00295CCC">
        <w:rPr>
          <w:rFonts w:ascii="Times New Roman" w:hAnsi="Times New Roman" w:cs="Times New Roman"/>
          <w:sz w:val="24"/>
          <w:szCs w:val="24"/>
        </w:rPr>
        <w:t xml:space="preserve">Goertz, Gary and Paul F. Diehl. 1995. “The Initiation and Termination of Enduring Rivalries: The Impact of Political Shocks.” </w:t>
      </w:r>
      <w:r w:rsidRPr="00295CCC">
        <w:rPr>
          <w:rFonts w:ascii="Times New Roman" w:hAnsi="Times New Roman" w:cs="Times New Roman"/>
          <w:i/>
          <w:iCs/>
          <w:sz w:val="24"/>
          <w:szCs w:val="24"/>
        </w:rPr>
        <w:t>American Journal of Political Science</w:t>
      </w:r>
      <w:r w:rsidRPr="00295CCC">
        <w:rPr>
          <w:rFonts w:ascii="Times New Roman" w:hAnsi="Times New Roman" w:cs="Times New Roman"/>
          <w:sz w:val="24"/>
          <w:szCs w:val="24"/>
        </w:rPr>
        <w:t>, 39, 1: 30-52.</w:t>
      </w:r>
    </w:p>
    <w:p w14:paraId="234D5052" w14:textId="6CA18B33" w:rsidR="0002139C" w:rsidRDefault="006C639B" w:rsidP="001A1175">
      <w:pPr>
        <w:rPr>
          <w:rFonts w:ascii="Times New Roman" w:hAnsi="Times New Roman" w:cs="Times New Roman"/>
          <w:sz w:val="24"/>
          <w:szCs w:val="24"/>
        </w:rPr>
      </w:pPr>
      <w:r w:rsidRPr="00295CCC">
        <w:rPr>
          <w:rFonts w:ascii="Times New Roman" w:hAnsi="Times New Roman" w:cs="Times New Roman"/>
          <w:sz w:val="24"/>
          <w:szCs w:val="24"/>
        </w:rPr>
        <w:t>Gordell, Kelly M</w:t>
      </w:r>
      <w:r w:rsidR="008F793C" w:rsidRPr="00295CCC">
        <w:rPr>
          <w:rFonts w:ascii="Times New Roman" w:hAnsi="Times New Roman" w:cs="Times New Roman"/>
          <w:sz w:val="24"/>
          <w:szCs w:val="24"/>
        </w:rPr>
        <w:t>arie</w:t>
      </w:r>
      <w:r w:rsidRPr="00295CCC">
        <w:rPr>
          <w:rFonts w:ascii="Times New Roman" w:hAnsi="Times New Roman" w:cs="Times New Roman"/>
          <w:sz w:val="24"/>
          <w:szCs w:val="24"/>
        </w:rPr>
        <w:t xml:space="preserve">. 2021. “An Assessment of Political Shocks: Considering the Domestic and International Consequences.” </w:t>
      </w:r>
      <w:r w:rsidRPr="00295CCC">
        <w:rPr>
          <w:rFonts w:ascii="Times New Roman" w:hAnsi="Times New Roman" w:cs="Times New Roman"/>
          <w:i/>
          <w:iCs/>
          <w:sz w:val="24"/>
          <w:szCs w:val="24"/>
        </w:rPr>
        <w:t>PhD Dissertation</w:t>
      </w:r>
      <w:r w:rsidRPr="00295CCC">
        <w:rPr>
          <w:rFonts w:ascii="Times New Roman" w:hAnsi="Times New Roman" w:cs="Times New Roman"/>
          <w:sz w:val="24"/>
          <w:szCs w:val="24"/>
        </w:rPr>
        <w:t>, Tucson: University of Arizona</w:t>
      </w:r>
      <w:r w:rsidR="0002139C">
        <w:rPr>
          <w:rFonts w:ascii="Times New Roman" w:hAnsi="Times New Roman" w:cs="Times New Roman"/>
          <w:sz w:val="24"/>
          <w:szCs w:val="24"/>
        </w:rPr>
        <w:t xml:space="preserve">, at </w:t>
      </w:r>
      <w:hyperlink r:id="rId11" w:history="1">
        <w:r w:rsidR="00227BD0" w:rsidRPr="006B7C6D">
          <w:rPr>
            <w:rStyle w:val="Hyperlink"/>
            <w:rFonts w:ascii="Times New Roman" w:hAnsi="Times New Roman" w:cs="Times New Roman"/>
            <w:sz w:val="24"/>
            <w:szCs w:val="24"/>
          </w:rPr>
          <w:t>https://www.proquest.com/docview/2532159754?pq-origsite=gscholar&amp;fromopenview=true</w:t>
        </w:r>
      </w:hyperlink>
    </w:p>
    <w:p w14:paraId="1AC0D3AA" w14:textId="55C586C9" w:rsidR="00AC6218" w:rsidRPr="00295CCC" w:rsidRDefault="00AC6218" w:rsidP="001A1175">
      <w:pPr>
        <w:rPr>
          <w:rFonts w:ascii="Times New Roman" w:hAnsi="Times New Roman" w:cs="Times New Roman"/>
          <w:sz w:val="24"/>
          <w:szCs w:val="24"/>
        </w:rPr>
      </w:pPr>
      <w:r w:rsidRPr="00295CCC">
        <w:rPr>
          <w:rFonts w:ascii="Times New Roman" w:hAnsi="Times New Roman" w:cs="Times New Roman"/>
          <w:sz w:val="24"/>
          <w:szCs w:val="24"/>
        </w:rPr>
        <w:t xml:space="preserve">Gould, Stephen Jay, and Niles Eldredge. 1993. “Punctuated Equilibrium Comes of Age.” </w:t>
      </w:r>
      <w:r w:rsidRPr="00295CCC">
        <w:rPr>
          <w:rFonts w:ascii="Times New Roman" w:hAnsi="Times New Roman" w:cs="Times New Roman"/>
          <w:i/>
          <w:iCs/>
          <w:sz w:val="24"/>
          <w:szCs w:val="24"/>
        </w:rPr>
        <w:t>Nature</w:t>
      </w:r>
      <w:r w:rsidRPr="00295CCC">
        <w:rPr>
          <w:rFonts w:ascii="Times New Roman" w:hAnsi="Times New Roman" w:cs="Times New Roman"/>
          <w:sz w:val="24"/>
          <w:szCs w:val="24"/>
        </w:rPr>
        <w:t xml:space="preserve"> 366:223-227.</w:t>
      </w:r>
    </w:p>
    <w:p w14:paraId="748E3C48" w14:textId="77777777" w:rsidR="00822482" w:rsidRDefault="007E3B78" w:rsidP="00822482">
      <w:pPr>
        <w:rPr>
          <w:rFonts w:ascii="Times New Roman" w:hAnsi="Times New Roman" w:cs="Times New Roman"/>
          <w:sz w:val="24"/>
          <w:szCs w:val="24"/>
        </w:rPr>
      </w:pPr>
      <w:r w:rsidRPr="00295CCC">
        <w:rPr>
          <w:rFonts w:ascii="Times New Roman" w:hAnsi="Times New Roman" w:cs="Times New Roman"/>
          <w:sz w:val="24"/>
          <w:szCs w:val="24"/>
        </w:rPr>
        <w:t xml:space="preserve">Green-Pedersen, Christoffer and Sebastian Princen. 2016. “Punctuated Equilibrium Theory.” In Nikolaos Zaharladis (ed.). </w:t>
      </w:r>
      <w:r w:rsidRPr="00295CCC">
        <w:rPr>
          <w:rFonts w:ascii="Times New Roman" w:hAnsi="Times New Roman" w:cs="Times New Roman"/>
          <w:i/>
          <w:iCs/>
          <w:sz w:val="24"/>
          <w:szCs w:val="24"/>
        </w:rPr>
        <w:t>Handbook of Public Policy Agenda Setting</w:t>
      </w:r>
      <w:r w:rsidRPr="00295CCC">
        <w:rPr>
          <w:rFonts w:ascii="Times New Roman" w:hAnsi="Times New Roman" w:cs="Times New Roman"/>
          <w:sz w:val="24"/>
          <w:szCs w:val="24"/>
        </w:rPr>
        <w:t xml:space="preserve">. Northampton: Edward Elgar. </w:t>
      </w:r>
    </w:p>
    <w:p w14:paraId="382ED4D3" w14:textId="77777777" w:rsidR="009C6180" w:rsidRDefault="00822482" w:rsidP="00822482">
      <w:pPr>
        <w:rPr>
          <w:rFonts w:ascii="Times New Roman" w:hAnsi="Times New Roman" w:cs="Times New Roman"/>
          <w:sz w:val="24"/>
          <w:szCs w:val="24"/>
        </w:rPr>
      </w:pPr>
      <w:r w:rsidRPr="00F629E3">
        <w:rPr>
          <w:rFonts w:ascii="Times New Roman" w:hAnsi="Times New Roman" w:cs="Times New Roman"/>
          <w:sz w:val="24"/>
          <w:szCs w:val="24"/>
        </w:rPr>
        <w:t xml:space="preserve">Hegre, Havard, &amp; Nicholas Sambanis. 2006. </w:t>
      </w:r>
      <w:r>
        <w:rPr>
          <w:rFonts w:ascii="Times New Roman" w:hAnsi="Times New Roman" w:cs="Times New Roman"/>
          <w:sz w:val="24"/>
          <w:szCs w:val="24"/>
        </w:rPr>
        <w:t>“</w:t>
      </w:r>
      <w:r w:rsidRPr="00F629E3">
        <w:rPr>
          <w:rFonts w:ascii="Times New Roman" w:hAnsi="Times New Roman" w:cs="Times New Roman"/>
          <w:sz w:val="24"/>
          <w:szCs w:val="24"/>
        </w:rPr>
        <w:t>Sensitivity Analysis of Empirical Results on Civil War Onset.</w:t>
      </w:r>
      <w:r>
        <w:rPr>
          <w:rFonts w:ascii="Times New Roman" w:hAnsi="Times New Roman" w:cs="Times New Roman"/>
          <w:sz w:val="24"/>
          <w:szCs w:val="24"/>
        </w:rPr>
        <w:t>”</w:t>
      </w:r>
      <w:r w:rsidRPr="00F629E3">
        <w:rPr>
          <w:rFonts w:ascii="Times New Roman" w:hAnsi="Times New Roman" w:cs="Times New Roman"/>
          <w:sz w:val="24"/>
          <w:szCs w:val="24"/>
        </w:rPr>
        <w:t xml:space="preserve"> </w:t>
      </w:r>
      <w:r w:rsidRPr="00F629E3">
        <w:rPr>
          <w:rFonts w:ascii="Times New Roman" w:hAnsi="Times New Roman" w:cs="Times New Roman"/>
          <w:i/>
          <w:iCs/>
          <w:sz w:val="24"/>
          <w:szCs w:val="24"/>
        </w:rPr>
        <w:t>Journal of Conflict Resolution,</w:t>
      </w:r>
      <w:r w:rsidRPr="00F629E3">
        <w:rPr>
          <w:rFonts w:ascii="Times New Roman" w:hAnsi="Times New Roman" w:cs="Times New Roman"/>
          <w:sz w:val="24"/>
          <w:szCs w:val="24"/>
        </w:rPr>
        <w:t xml:space="preserve"> 50(4), 508-535. </w:t>
      </w:r>
      <w:r w:rsidR="009C6180">
        <w:rPr>
          <w:rFonts w:ascii="Times New Roman" w:hAnsi="Times New Roman" w:cs="Times New Roman"/>
          <w:sz w:val="24"/>
          <w:szCs w:val="24"/>
        </w:rPr>
        <w:t xml:space="preserve"> </w:t>
      </w:r>
    </w:p>
    <w:p w14:paraId="2E8070E9" w14:textId="0472CC3F" w:rsidR="00822482" w:rsidRDefault="009C6180" w:rsidP="00822482">
      <w:pPr>
        <w:rPr>
          <w:rFonts w:ascii="Times New Roman" w:hAnsi="Times New Roman" w:cs="Times New Roman"/>
          <w:sz w:val="24"/>
          <w:szCs w:val="24"/>
        </w:rPr>
      </w:pPr>
      <w:r>
        <w:rPr>
          <w:rFonts w:ascii="Times New Roman" w:hAnsi="Times New Roman" w:cs="Times New Roman"/>
          <w:sz w:val="24"/>
          <w:szCs w:val="24"/>
        </w:rPr>
        <w:t xml:space="preserve">Jervis, Robert. 1978. “Cooperation under the Security Dilemma.” </w:t>
      </w:r>
      <w:r w:rsidRPr="009C6180">
        <w:rPr>
          <w:rFonts w:ascii="Times New Roman" w:hAnsi="Times New Roman" w:cs="Times New Roman"/>
          <w:i/>
          <w:iCs/>
          <w:sz w:val="24"/>
          <w:szCs w:val="24"/>
        </w:rPr>
        <w:t>World Politics</w:t>
      </w:r>
      <w:r>
        <w:rPr>
          <w:rFonts w:ascii="Times New Roman" w:hAnsi="Times New Roman" w:cs="Times New Roman"/>
          <w:sz w:val="24"/>
          <w:szCs w:val="24"/>
        </w:rPr>
        <w:t xml:space="preserve"> 30, 1.</w:t>
      </w:r>
    </w:p>
    <w:p w14:paraId="2FFA9743" w14:textId="74836A74" w:rsidR="006A2AB8" w:rsidRPr="00295CCC" w:rsidRDefault="006A2AB8" w:rsidP="001A1175">
      <w:pPr>
        <w:rPr>
          <w:rFonts w:ascii="Times New Roman" w:hAnsi="Times New Roman" w:cs="Times New Roman"/>
          <w:sz w:val="24"/>
          <w:szCs w:val="24"/>
        </w:rPr>
      </w:pPr>
      <w:r w:rsidRPr="00295CCC">
        <w:rPr>
          <w:rFonts w:ascii="Times New Roman" w:hAnsi="Times New Roman" w:cs="Times New Roman"/>
          <w:sz w:val="24"/>
          <w:szCs w:val="24"/>
        </w:rPr>
        <w:t xml:space="preserve">Jones, Brian D., Frank R. Baumgartner and James L. True. 1998. “Policy Punctuations: U.S. Budget Authority, 1947-1995.” </w:t>
      </w:r>
      <w:r w:rsidRPr="00295CCC">
        <w:rPr>
          <w:rFonts w:ascii="Times New Roman" w:hAnsi="Times New Roman" w:cs="Times New Roman"/>
          <w:i/>
          <w:iCs/>
          <w:sz w:val="24"/>
          <w:szCs w:val="24"/>
        </w:rPr>
        <w:t>Journal of Politics</w:t>
      </w:r>
      <w:r w:rsidRPr="00295CCC">
        <w:rPr>
          <w:rFonts w:ascii="Times New Roman" w:hAnsi="Times New Roman" w:cs="Times New Roman"/>
          <w:sz w:val="24"/>
          <w:szCs w:val="24"/>
        </w:rPr>
        <w:t>, 60,1: 1-33.</w:t>
      </w:r>
    </w:p>
    <w:p w14:paraId="7097D01C" w14:textId="36A6873A" w:rsidR="005A1367" w:rsidRPr="00295CCC" w:rsidRDefault="000613C5" w:rsidP="001A1175">
      <w:pPr>
        <w:rPr>
          <w:rFonts w:ascii="Times New Roman" w:hAnsi="Times New Roman" w:cs="Times New Roman"/>
          <w:sz w:val="24"/>
          <w:szCs w:val="24"/>
        </w:rPr>
      </w:pPr>
      <w:r w:rsidRPr="00A86D4D">
        <w:rPr>
          <w:rFonts w:ascii="Times New Roman" w:hAnsi="Times New Roman" w:cs="Times New Roman"/>
          <w:sz w:val="24"/>
          <w:szCs w:val="24"/>
        </w:rPr>
        <w:t xml:space="preserve">Jong-A-Pin, Richard. 2009. </w:t>
      </w:r>
      <w:r>
        <w:rPr>
          <w:rFonts w:ascii="Times New Roman" w:hAnsi="Times New Roman" w:cs="Times New Roman"/>
          <w:sz w:val="24"/>
          <w:szCs w:val="24"/>
        </w:rPr>
        <w:t>“</w:t>
      </w:r>
      <w:r w:rsidRPr="00A86D4D">
        <w:rPr>
          <w:rFonts w:ascii="Times New Roman" w:hAnsi="Times New Roman" w:cs="Times New Roman"/>
          <w:sz w:val="24"/>
          <w:szCs w:val="24"/>
        </w:rPr>
        <w:t>On the Measurement of Political Instability and its Impact on Economic Growth.</w:t>
      </w:r>
      <w:r>
        <w:rPr>
          <w:rFonts w:ascii="Times New Roman" w:hAnsi="Times New Roman" w:cs="Times New Roman"/>
          <w:sz w:val="24"/>
          <w:szCs w:val="24"/>
        </w:rPr>
        <w:t>”</w:t>
      </w:r>
      <w:r w:rsidRPr="00A86D4D">
        <w:rPr>
          <w:rFonts w:ascii="Times New Roman" w:hAnsi="Times New Roman" w:cs="Times New Roman"/>
          <w:sz w:val="24"/>
          <w:szCs w:val="24"/>
        </w:rPr>
        <w:t xml:space="preserve"> </w:t>
      </w:r>
      <w:r w:rsidRPr="00A86D4D">
        <w:rPr>
          <w:rFonts w:ascii="Times New Roman" w:hAnsi="Times New Roman" w:cs="Times New Roman"/>
          <w:i/>
          <w:iCs/>
          <w:sz w:val="24"/>
          <w:szCs w:val="24"/>
        </w:rPr>
        <w:t>European Journal of Political Economy,</w:t>
      </w:r>
      <w:r w:rsidRPr="00A86D4D">
        <w:rPr>
          <w:rFonts w:ascii="Times New Roman" w:hAnsi="Times New Roman" w:cs="Times New Roman"/>
          <w:sz w:val="24"/>
          <w:szCs w:val="24"/>
        </w:rPr>
        <w:t xml:space="preserve"> 25</w:t>
      </w:r>
      <w:r>
        <w:rPr>
          <w:rFonts w:ascii="Times New Roman" w:hAnsi="Times New Roman" w:cs="Times New Roman"/>
          <w:sz w:val="24"/>
          <w:szCs w:val="24"/>
        </w:rPr>
        <w:t>, 1:</w:t>
      </w:r>
      <w:r w:rsidRPr="00A86D4D">
        <w:rPr>
          <w:rFonts w:ascii="Times New Roman" w:hAnsi="Times New Roman" w:cs="Times New Roman"/>
          <w:sz w:val="24"/>
          <w:szCs w:val="24"/>
        </w:rPr>
        <w:t>15-29.</w:t>
      </w:r>
    </w:p>
    <w:p w14:paraId="626696BB" w14:textId="375C299C" w:rsidR="00FD2F5D" w:rsidRPr="00295CCC" w:rsidRDefault="00194219" w:rsidP="001A1175">
      <w:pPr>
        <w:rPr>
          <w:rFonts w:ascii="Times New Roman" w:hAnsi="Times New Roman" w:cs="Times New Roman"/>
          <w:sz w:val="24"/>
          <w:szCs w:val="24"/>
        </w:rPr>
      </w:pPr>
      <w:r w:rsidRPr="00295CCC">
        <w:rPr>
          <w:rFonts w:ascii="Times New Roman" w:hAnsi="Times New Roman" w:cs="Times New Roman"/>
          <w:sz w:val="24"/>
          <w:szCs w:val="24"/>
        </w:rPr>
        <w:t xml:space="preserve">Joly, Jeroen and Friederike Richter. 2019 “Punctuated equilibrium theory and foreign policy.” In </w:t>
      </w:r>
      <w:bookmarkStart w:id="16" w:name="_Hlk72835445"/>
      <w:r w:rsidRPr="00295CCC">
        <w:rPr>
          <w:rFonts w:ascii="Times New Roman" w:hAnsi="Times New Roman" w:cs="Times New Roman"/>
          <w:sz w:val="24"/>
          <w:szCs w:val="24"/>
        </w:rPr>
        <w:t xml:space="preserve">Klaus Brummer, Sebastian Harnisch, Kai Oppermann, and Diana Panke (eds.), </w:t>
      </w:r>
      <w:r w:rsidRPr="00295CCC">
        <w:rPr>
          <w:rFonts w:ascii="Times New Roman" w:hAnsi="Times New Roman" w:cs="Times New Roman"/>
          <w:i/>
          <w:iCs/>
          <w:sz w:val="24"/>
          <w:szCs w:val="24"/>
        </w:rPr>
        <w:t>Foreign Policy as Public Policy? Promises and Pitfalls</w:t>
      </w:r>
      <w:r w:rsidRPr="00295CCC">
        <w:rPr>
          <w:rFonts w:ascii="Times New Roman" w:hAnsi="Times New Roman" w:cs="Times New Roman"/>
          <w:sz w:val="24"/>
          <w:szCs w:val="24"/>
        </w:rPr>
        <w:t>.  Manchester: Manchester University Press.</w:t>
      </w:r>
    </w:p>
    <w:p w14:paraId="41772EAD" w14:textId="77777777" w:rsidR="00594D8D" w:rsidRDefault="00523868" w:rsidP="00594D8D">
      <w:pPr>
        <w:rPr>
          <w:rFonts w:ascii="Times New Roman" w:hAnsi="Times New Roman" w:cs="Times New Roman"/>
          <w:sz w:val="24"/>
          <w:szCs w:val="24"/>
        </w:rPr>
      </w:pPr>
      <w:r w:rsidRPr="00295CCC">
        <w:rPr>
          <w:rFonts w:ascii="Times New Roman" w:hAnsi="Times New Roman" w:cs="Times New Roman"/>
          <w:sz w:val="24"/>
          <w:szCs w:val="24"/>
        </w:rPr>
        <w:t xml:space="preserve">Kugler, Jacek and Ronald L. Tammen. 2012. </w:t>
      </w:r>
      <w:r w:rsidRPr="00295CCC">
        <w:rPr>
          <w:rFonts w:ascii="Times New Roman" w:hAnsi="Times New Roman" w:cs="Times New Roman"/>
          <w:i/>
          <w:iCs/>
          <w:sz w:val="24"/>
          <w:szCs w:val="24"/>
        </w:rPr>
        <w:t>The Performance of Nations</w:t>
      </w:r>
      <w:r w:rsidRPr="00295CCC">
        <w:rPr>
          <w:rFonts w:ascii="Times New Roman" w:hAnsi="Times New Roman" w:cs="Times New Roman"/>
          <w:sz w:val="24"/>
          <w:szCs w:val="24"/>
        </w:rPr>
        <w:t>. Lanham: Rowman and Littlefield.</w:t>
      </w:r>
      <w:r w:rsidR="00227BD0">
        <w:rPr>
          <w:rFonts w:ascii="Times New Roman" w:hAnsi="Times New Roman" w:cs="Times New Roman"/>
          <w:sz w:val="24"/>
          <w:szCs w:val="24"/>
        </w:rPr>
        <w:t xml:space="preserve"> </w:t>
      </w:r>
    </w:p>
    <w:p w14:paraId="73DF40E7" w14:textId="202EE0EA" w:rsidR="00594D8D" w:rsidRPr="008C0D83" w:rsidRDefault="00594D8D" w:rsidP="00594D8D">
      <w:pPr>
        <w:rPr>
          <w:rFonts w:ascii="Times New Roman" w:hAnsi="Times New Roman" w:cs="Times New Roman"/>
          <w:sz w:val="24"/>
          <w:szCs w:val="24"/>
        </w:rPr>
      </w:pPr>
      <w:r w:rsidRPr="008C0D83">
        <w:rPr>
          <w:rFonts w:ascii="Times New Roman" w:hAnsi="Times New Roman" w:cs="Times New Roman"/>
          <w:sz w:val="24"/>
          <w:szCs w:val="24"/>
        </w:rPr>
        <w:t xml:space="preserve">Long, J. Scott. 1997. </w:t>
      </w:r>
      <w:r w:rsidRPr="008C0D83">
        <w:rPr>
          <w:rFonts w:ascii="Times New Roman" w:hAnsi="Times New Roman" w:cs="Times New Roman"/>
          <w:i/>
          <w:sz w:val="24"/>
          <w:szCs w:val="24"/>
        </w:rPr>
        <w:t>Regression Models for Categorical and Limited Dependent Variables.</w:t>
      </w:r>
      <w:r w:rsidRPr="008C0D83">
        <w:rPr>
          <w:rFonts w:ascii="Times New Roman" w:hAnsi="Times New Roman" w:cs="Times New Roman"/>
          <w:sz w:val="24"/>
          <w:szCs w:val="24"/>
        </w:rPr>
        <w:t xml:space="preserve"> Thousand Oaks, CA: Sage.</w:t>
      </w:r>
    </w:p>
    <w:p w14:paraId="6ACA4982" w14:textId="218CBCED" w:rsidR="00227BD0" w:rsidRPr="00D84E96" w:rsidRDefault="00227BD0" w:rsidP="00227BD0">
      <w:pPr>
        <w:rPr>
          <w:rFonts w:ascii="Times New Roman" w:hAnsi="Times New Roman" w:cs="Times New Roman"/>
          <w:sz w:val="24"/>
          <w:szCs w:val="24"/>
          <w:shd w:val="clear" w:color="auto" w:fill="FFFFFF"/>
        </w:rPr>
      </w:pPr>
      <w:r w:rsidRPr="00D84E96">
        <w:rPr>
          <w:rFonts w:ascii="Times New Roman" w:hAnsi="Times New Roman" w:cs="Times New Roman"/>
          <w:sz w:val="24"/>
          <w:szCs w:val="24"/>
          <w:shd w:val="clear" w:color="auto" w:fill="FFFFFF"/>
        </w:rPr>
        <w:lastRenderedPageBreak/>
        <w:t xml:space="preserve">Marshall, Monty G., and Ted Robert Gurr. 2020. </w:t>
      </w:r>
      <w:r w:rsidRPr="00227BD0">
        <w:rPr>
          <w:rFonts w:ascii="Times New Roman" w:hAnsi="Times New Roman" w:cs="Times New Roman"/>
          <w:i/>
          <w:iCs/>
          <w:sz w:val="24"/>
          <w:szCs w:val="24"/>
          <w:shd w:val="clear" w:color="auto" w:fill="FFFFFF"/>
        </w:rPr>
        <w:t>Polity5 Project, Political Regime Characteristics and Transitions, 1800-2018</w:t>
      </w:r>
      <w:r w:rsidRPr="00D84E96">
        <w:rPr>
          <w:rFonts w:ascii="Times New Roman" w:hAnsi="Times New Roman" w:cs="Times New Roman"/>
          <w:sz w:val="24"/>
          <w:szCs w:val="24"/>
          <w:shd w:val="clear" w:color="auto" w:fill="FFFFFF"/>
        </w:rPr>
        <w:t xml:space="preserve"> Codebook and data files. </w:t>
      </w:r>
    </w:p>
    <w:p w14:paraId="61EC6646" w14:textId="65AD0899" w:rsidR="00523868" w:rsidRPr="00295CCC" w:rsidRDefault="00227BD0" w:rsidP="001A1175">
      <w:pPr>
        <w:rPr>
          <w:rFonts w:ascii="Times New Roman" w:hAnsi="Times New Roman" w:cs="Times New Roman"/>
          <w:sz w:val="24"/>
          <w:szCs w:val="24"/>
        </w:rPr>
      </w:pPr>
      <w:r w:rsidRPr="00731104">
        <w:rPr>
          <w:rFonts w:ascii="Times New Roman" w:hAnsi="Times New Roman" w:cs="Times New Roman"/>
          <w:sz w:val="24"/>
          <w:szCs w:val="24"/>
        </w:rPr>
        <w:t xml:space="preserve">Meernik, James, </w:t>
      </w:r>
      <w:r>
        <w:rPr>
          <w:rFonts w:ascii="Times New Roman" w:hAnsi="Times New Roman" w:cs="Times New Roman"/>
          <w:sz w:val="24"/>
          <w:szCs w:val="24"/>
        </w:rPr>
        <w:t>and</w:t>
      </w:r>
      <w:r w:rsidRPr="00731104">
        <w:rPr>
          <w:rFonts w:ascii="Times New Roman" w:hAnsi="Times New Roman" w:cs="Times New Roman"/>
          <w:sz w:val="24"/>
          <w:szCs w:val="24"/>
        </w:rPr>
        <w:t xml:space="preserve"> Steven C. Poe. 1996. </w:t>
      </w:r>
      <w:r>
        <w:rPr>
          <w:rFonts w:ascii="Times New Roman" w:hAnsi="Times New Roman" w:cs="Times New Roman"/>
          <w:sz w:val="24"/>
          <w:szCs w:val="24"/>
        </w:rPr>
        <w:t>“</w:t>
      </w:r>
      <w:r w:rsidRPr="00731104">
        <w:rPr>
          <w:rFonts w:ascii="Times New Roman" w:hAnsi="Times New Roman" w:cs="Times New Roman"/>
          <w:sz w:val="24"/>
          <w:szCs w:val="24"/>
        </w:rPr>
        <w:t>U.S. Foreign Aid in the Domestic and International Environments.</w:t>
      </w:r>
      <w:r>
        <w:rPr>
          <w:rFonts w:ascii="Times New Roman" w:hAnsi="Times New Roman" w:cs="Times New Roman"/>
          <w:sz w:val="24"/>
          <w:szCs w:val="24"/>
        </w:rPr>
        <w:t>”</w:t>
      </w:r>
      <w:r w:rsidRPr="00731104">
        <w:rPr>
          <w:rFonts w:ascii="Times New Roman" w:hAnsi="Times New Roman" w:cs="Times New Roman"/>
          <w:sz w:val="24"/>
          <w:szCs w:val="24"/>
        </w:rPr>
        <w:t xml:space="preserve"> </w:t>
      </w:r>
      <w:r w:rsidRPr="00731104">
        <w:rPr>
          <w:rFonts w:ascii="Times New Roman" w:hAnsi="Times New Roman" w:cs="Times New Roman"/>
          <w:i/>
          <w:iCs/>
          <w:sz w:val="24"/>
          <w:szCs w:val="24"/>
        </w:rPr>
        <w:t>International Interactions</w:t>
      </w:r>
      <w:r w:rsidRPr="00731104">
        <w:rPr>
          <w:rFonts w:ascii="Times New Roman" w:hAnsi="Times New Roman" w:cs="Times New Roman"/>
          <w:sz w:val="24"/>
          <w:szCs w:val="24"/>
        </w:rPr>
        <w:t>, 22</w:t>
      </w:r>
      <w:r>
        <w:rPr>
          <w:rFonts w:ascii="Times New Roman" w:hAnsi="Times New Roman" w:cs="Times New Roman"/>
          <w:sz w:val="24"/>
          <w:szCs w:val="24"/>
        </w:rPr>
        <w:t>, 1:</w:t>
      </w:r>
      <w:r w:rsidRPr="00731104">
        <w:rPr>
          <w:rFonts w:ascii="Times New Roman" w:hAnsi="Times New Roman" w:cs="Times New Roman"/>
          <w:sz w:val="24"/>
          <w:szCs w:val="24"/>
        </w:rPr>
        <w:t xml:space="preserve"> 21-40.</w:t>
      </w:r>
    </w:p>
    <w:p w14:paraId="034FD8A2" w14:textId="44214E4D" w:rsidR="003F03C7" w:rsidRPr="00295CCC" w:rsidRDefault="000613C5" w:rsidP="001A1175">
      <w:pPr>
        <w:rPr>
          <w:rFonts w:ascii="Times New Roman" w:hAnsi="Times New Roman" w:cs="Times New Roman"/>
          <w:sz w:val="24"/>
          <w:szCs w:val="24"/>
        </w:rPr>
      </w:pPr>
      <w:r w:rsidRPr="00731104">
        <w:rPr>
          <w:rFonts w:ascii="Times New Roman" w:hAnsi="Times New Roman" w:cs="Times New Roman"/>
          <w:sz w:val="24"/>
          <w:szCs w:val="24"/>
        </w:rPr>
        <w:t xml:space="preserve">Meierding, Emily. 2013. </w:t>
      </w:r>
      <w:r>
        <w:rPr>
          <w:rFonts w:ascii="Times New Roman" w:hAnsi="Times New Roman" w:cs="Times New Roman"/>
          <w:sz w:val="24"/>
          <w:szCs w:val="24"/>
        </w:rPr>
        <w:t>“</w:t>
      </w:r>
      <w:r w:rsidRPr="00731104">
        <w:rPr>
          <w:rFonts w:ascii="Times New Roman" w:hAnsi="Times New Roman" w:cs="Times New Roman"/>
          <w:sz w:val="24"/>
          <w:szCs w:val="24"/>
        </w:rPr>
        <w:t>Climate Change and Conflict: Avoiding Small Talk about the Weather.</w:t>
      </w:r>
      <w:r>
        <w:rPr>
          <w:rFonts w:ascii="Times New Roman" w:hAnsi="Times New Roman" w:cs="Times New Roman"/>
          <w:sz w:val="24"/>
          <w:szCs w:val="24"/>
        </w:rPr>
        <w:t>”</w:t>
      </w:r>
      <w:r w:rsidRPr="00731104">
        <w:rPr>
          <w:rFonts w:ascii="Times New Roman" w:hAnsi="Times New Roman" w:cs="Times New Roman"/>
          <w:sz w:val="24"/>
          <w:szCs w:val="24"/>
        </w:rPr>
        <w:t xml:space="preserve"> </w:t>
      </w:r>
      <w:r w:rsidRPr="00731104">
        <w:rPr>
          <w:rFonts w:ascii="Times New Roman" w:hAnsi="Times New Roman" w:cs="Times New Roman"/>
          <w:i/>
          <w:iCs/>
          <w:sz w:val="24"/>
          <w:szCs w:val="24"/>
        </w:rPr>
        <w:t>International Studies Review,</w:t>
      </w:r>
      <w:r w:rsidRPr="00731104">
        <w:rPr>
          <w:rFonts w:ascii="Times New Roman" w:hAnsi="Times New Roman" w:cs="Times New Roman"/>
          <w:sz w:val="24"/>
          <w:szCs w:val="24"/>
        </w:rPr>
        <w:t xml:space="preserve"> 15</w:t>
      </w:r>
      <w:r>
        <w:rPr>
          <w:rFonts w:ascii="Times New Roman" w:hAnsi="Times New Roman" w:cs="Times New Roman"/>
          <w:sz w:val="24"/>
          <w:szCs w:val="24"/>
        </w:rPr>
        <w:t>, 2:</w:t>
      </w:r>
      <w:r w:rsidRPr="00731104">
        <w:rPr>
          <w:rFonts w:ascii="Times New Roman" w:hAnsi="Times New Roman" w:cs="Times New Roman"/>
          <w:sz w:val="24"/>
          <w:szCs w:val="24"/>
        </w:rPr>
        <w:t>185-203.</w:t>
      </w:r>
    </w:p>
    <w:p w14:paraId="578076AE" w14:textId="0C4AD699" w:rsidR="001612A0" w:rsidRPr="00295CCC" w:rsidRDefault="001612A0" w:rsidP="001A1175">
      <w:pPr>
        <w:rPr>
          <w:rFonts w:ascii="Times New Roman" w:hAnsi="Times New Roman" w:cs="Times New Roman"/>
          <w:sz w:val="24"/>
          <w:szCs w:val="24"/>
        </w:rPr>
      </w:pPr>
      <w:r w:rsidRPr="00295CCC">
        <w:rPr>
          <w:rFonts w:ascii="Times New Roman" w:hAnsi="Times New Roman" w:cs="Times New Roman"/>
          <w:sz w:val="24"/>
          <w:szCs w:val="24"/>
        </w:rPr>
        <w:t xml:space="preserve">Milner, Helen V. and Dustin Tingley. 2013. “The Choice for Multilaterialism: Foreign Aid and American Foreign Policy,” </w:t>
      </w:r>
      <w:r w:rsidRPr="00295CCC">
        <w:rPr>
          <w:rFonts w:ascii="Times New Roman" w:hAnsi="Times New Roman" w:cs="Times New Roman"/>
          <w:i/>
          <w:iCs/>
          <w:sz w:val="24"/>
          <w:szCs w:val="24"/>
        </w:rPr>
        <w:t>Review of International Organizations</w:t>
      </w:r>
      <w:r w:rsidRPr="00295CCC">
        <w:rPr>
          <w:rFonts w:ascii="Times New Roman" w:hAnsi="Times New Roman" w:cs="Times New Roman"/>
          <w:sz w:val="24"/>
          <w:szCs w:val="24"/>
        </w:rPr>
        <w:t>, 8, 3:313-341.</w:t>
      </w:r>
    </w:p>
    <w:p w14:paraId="44509268" w14:textId="0D995EF5" w:rsidR="003F03C7" w:rsidRDefault="000613C5" w:rsidP="001A1175">
      <w:pPr>
        <w:rPr>
          <w:rFonts w:ascii="Times New Roman" w:hAnsi="Times New Roman" w:cs="Times New Roman"/>
          <w:sz w:val="24"/>
          <w:szCs w:val="24"/>
        </w:rPr>
      </w:pPr>
      <w:r w:rsidRPr="00731104">
        <w:rPr>
          <w:rFonts w:ascii="Times New Roman" w:hAnsi="Times New Roman" w:cs="Times New Roman"/>
          <w:sz w:val="24"/>
          <w:szCs w:val="24"/>
        </w:rPr>
        <w:t xml:space="preserve">Morey, Daniel S. 2009. </w:t>
      </w:r>
      <w:r>
        <w:rPr>
          <w:rFonts w:ascii="Times New Roman" w:hAnsi="Times New Roman" w:cs="Times New Roman"/>
          <w:sz w:val="24"/>
          <w:szCs w:val="24"/>
        </w:rPr>
        <w:t>“</w:t>
      </w:r>
      <w:r w:rsidRPr="00731104">
        <w:rPr>
          <w:rFonts w:ascii="Times New Roman" w:hAnsi="Times New Roman" w:cs="Times New Roman"/>
          <w:sz w:val="24"/>
          <w:szCs w:val="24"/>
        </w:rPr>
        <w:t>Conflict and the Duration of Peace in Enduring Internal Rivalries.</w:t>
      </w:r>
      <w:r>
        <w:rPr>
          <w:rFonts w:ascii="Times New Roman" w:hAnsi="Times New Roman" w:cs="Times New Roman"/>
          <w:sz w:val="24"/>
          <w:szCs w:val="24"/>
        </w:rPr>
        <w:t>”</w:t>
      </w:r>
      <w:r w:rsidRPr="00731104">
        <w:rPr>
          <w:rFonts w:ascii="Times New Roman" w:hAnsi="Times New Roman" w:cs="Times New Roman"/>
          <w:sz w:val="24"/>
          <w:szCs w:val="24"/>
        </w:rPr>
        <w:t xml:space="preserve"> </w:t>
      </w:r>
      <w:r w:rsidRPr="00731104">
        <w:rPr>
          <w:rFonts w:ascii="Times New Roman" w:hAnsi="Times New Roman" w:cs="Times New Roman"/>
          <w:i/>
          <w:iCs/>
          <w:sz w:val="24"/>
          <w:szCs w:val="24"/>
        </w:rPr>
        <w:t>Conflict Management and Peace Science,</w:t>
      </w:r>
      <w:r w:rsidRPr="00731104">
        <w:rPr>
          <w:rFonts w:ascii="Times New Roman" w:hAnsi="Times New Roman" w:cs="Times New Roman"/>
          <w:sz w:val="24"/>
          <w:szCs w:val="24"/>
        </w:rPr>
        <w:t xml:space="preserve"> 26</w:t>
      </w:r>
      <w:r>
        <w:rPr>
          <w:rFonts w:ascii="Times New Roman" w:hAnsi="Times New Roman" w:cs="Times New Roman"/>
          <w:sz w:val="24"/>
          <w:szCs w:val="24"/>
        </w:rPr>
        <w:t xml:space="preserve">, 4: </w:t>
      </w:r>
      <w:r w:rsidRPr="00731104">
        <w:rPr>
          <w:rFonts w:ascii="Times New Roman" w:hAnsi="Times New Roman" w:cs="Times New Roman"/>
          <w:sz w:val="24"/>
          <w:szCs w:val="24"/>
        </w:rPr>
        <w:t>331-345.</w:t>
      </w:r>
    </w:p>
    <w:p w14:paraId="552564F1" w14:textId="2F946C5B" w:rsidR="00227BD0" w:rsidRDefault="00227BD0" w:rsidP="00266215">
      <w:pPr>
        <w:rPr>
          <w:rFonts w:ascii="Times New Roman" w:hAnsi="Times New Roman" w:cs="Times New Roman"/>
          <w:sz w:val="24"/>
          <w:szCs w:val="24"/>
        </w:rPr>
      </w:pPr>
      <w:r w:rsidRPr="00AC406A">
        <w:rPr>
          <w:rFonts w:ascii="Times New Roman" w:hAnsi="Times New Roman" w:cs="Times New Roman"/>
          <w:sz w:val="24"/>
          <w:szCs w:val="24"/>
        </w:rPr>
        <w:t xml:space="preserve">Mullenbach, Mark J. 2013. </w:t>
      </w:r>
      <w:r>
        <w:rPr>
          <w:rFonts w:ascii="Times New Roman" w:hAnsi="Times New Roman" w:cs="Times New Roman"/>
          <w:sz w:val="24"/>
          <w:szCs w:val="24"/>
        </w:rPr>
        <w:t>“</w:t>
      </w:r>
      <w:r w:rsidRPr="00AC406A">
        <w:rPr>
          <w:rFonts w:ascii="Times New Roman" w:hAnsi="Times New Roman" w:cs="Times New Roman"/>
          <w:sz w:val="24"/>
          <w:szCs w:val="24"/>
        </w:rPr>
        <w:t>Third-Party Peacekeeping in Intrastate Disputes, 1946–2012: A New Dataset.</w:t>
      </w:r>
      <w:r>
        <w:rPr>
          <w:rFonts w:ascii="Times New Roman" w:hAnsi="Times New Roman" w:cs="Times New Roman"/>
          <w:sz w:val="24"/>
          <w:szCs w:val="24"/>
        </w:rPr>
        <w:t>”</w:t>
      </w:r>
      <w:r w:rsidRPr="00AC406A">
        <w:rPr>
          <w:rFonts w:ascii="Times New Roman" w:hAnsi="Times New Roman" w:cs="Times New Roman"/>
          <w:sz w:val="24"/>
          <w:szCs w:val="24"/>
        </w:rPr>
        <w:t xml:space="preserve"> </w:t>
      </w:r>
      <w:r w:rsidRPr="00AC406A">
        <w:rPr>
          <w:rFonts w:ascii="Times New Roman" w:hAnsi="Times New Roman" w:cs="Times New Roman"/>
          <w:i/>
          <w:sz w:val="24"/>
          <w:szCs w:val="24"/>
        </w:rPr>
        <w:t>Midsouth Political Science Review</w:t>
      </w:r>
      <w:r w:rsidRPr="00AC406A">
        <w:rPr>
          <w:rFonts w:ascii="Times New Roman" w:hAnsi="Times New Roman" w:cs="Times New Roman"/>
          <w:sz w:val="24"/>
          <w:szCs w:val="24"/>
        </w:rPr>
        <w:t xml:space="preserve"> 14</w:t>
      </w:r>
      <w:r>
        <w:rPr>
          <w:rFonts w:ascii="Times New Roman" w:hAnsi="Times New Roman" w:cs="Times New Roman"/>
          <w:sz w:val="24"/>
          <w:szCs w:val="24"/>
        </w:rPr>
        <w:t>,</w:t>
      </w:r>
      <w:r w:rsidRPr="00AC406A">
        <w:rPr>
          <w:rFonts w:ascii="Times New Roman" w:hAnsi="Times New Roman" w:cs="Times New Roman"/>
          <w:sz w:val="24"/>
          <w:szCs w:val="24"/>
        </w:rPr>
        <w:t>1</w:t>
      </w:r>
      <w:r>
        <w:rPr>
          <w:rFonts w:ascii="Times New Roman" w:hAnsi="Times New Roman" w:cs="Times New Roman"/>
          <w:sz w:val="24"/>
          <w:szCs w:val="24"/>
        </w:rPr>
        <w:t>:</w:t>
      </w:r>
      <w:r w:rsidRPr="00AC406A">
        <w:rPr>
          <w:rFonts w:ascii="Times New Roman" w:hAnsi="Times New Roman" w:cs="Times New Roman"/>
          <w:sz w:val="24"/>
          <w:szCs w:val="24"/>
        </w:rPr>
        <w:t xml:space="preserve"> 103–133.</w:t>
      </w:r>
    </w:p>
    <w:p w14:paraId="147D5C30" w14:textId="77777777" w:rsidR="00822482" w:rsidRPr="00725E83" w:rsidRDefault="00822482" w:rsidP="00822482">
      <w:pPr>
        <w:ind w:right="-360"/>
        <w:rPr>
          <w:rFonts w:ascii="Times New Roman" w:hAnsi="Times New Roman" w:cs="Times New Roman"/>
          <w:sz w:val="24"/>
          <w:szCs w:val="24"/>
        </w:rPr>
      </w:pPr>
      <w:r>
        <w:rPr>
          <w:rFonts w:ascii="Times New Roman" w:hAnsi="Times New Roman" w:cs="Times New Roman"/>
          <w:sz w:val="24"/>
          <w:szCs w:val="24"/>
        </w:rPr>
        <w:t xml:space="preserve">Murdie, Amanda, and David R. Davis. 2010. “Problematic Potential: The Human Rights Consequences of Peacekeeping Interventions in Civil Wars.” </w:t>
      </w:r>
      <w:r>
        <w:rPr>
          <w:rFonts w:ascii="Times New Roman" w:hAnsi="Times New Roman" w:cs="Times New Roman"/>
          <w:i/>
          <w:iCs/>
          <w:sz w:val="24"/>
          <w:szCs w:val="24"/>
        </w:rPr>
        <w:t xml:space="preserve">Human Rights Quarterly, </w:t>
      </w:r>
      <w:r>
        <w:rPr>
          <w:rFonts w:ascii="Times New Roman" w:hAnsi="Times New Roman" w:cs="Times New Roman"/>
          <w:sz w:val="24"/>
          <w:szCs w:val="24"/>
        </w:rPr>
        <w:t xml:space="preserve">32, 49-72. </w:t>
      </w:r>
    </w:p>
    <w:p w14:paraId="07F6FB3E" w14:textId="4F2E6FAA" w:rsidR="00D1647D" w:rsidRDefault="00227BD0" w:rsidP="001A1175">
      <w:pPr>
        <w:rPr>
          <w:rFonts w:ascii="Times New Roman" w:hAnsi="Times New Roman" w:cs="Times New Roman"/>
          <w:sz w:val="24"/>
          <w:szCs w:val="24"/>
        </w:rPr>
      </w:pPr>
      <w:r>
        <w:rPr>
          <w:rFonts w:ascii="Times New Roman" w:eastAsia="Yu Gothic" w:hAnsi="Times New Roman" w:cs="Times New Roman"/>
          <w:sz w:val="24"/>
          <w:szCs w:val="24"/>
        </w:rPr>
        <w:t xml:space="preserve">Murdie, Amanda, and Tavishi Bhasin. 2011. “Aiding and Abetting: Human Rights INGOs and Domestic Protest.” </w:t>
      </w:r>
      <w:r>
        <w:rPr>
          <w:rFonts w:ascii="Times New Roman" w:eastAsia="Yu Gothic" w:hAnsi="Times New Roman" w:cs="Times New Roman"/>
          <w:i/>
          <w:iCs/>
          <w:sz w:val="24"/>
          <w:szCs w:val="24"/>
        </w:rPr>
        <w:t xml:space="preserve">Journal of Conflict Resolution, </w:t>
      </w:r>
      <w:r>
        <w:rPr>
          <w:rFonts w:ascii="Times New Roman" w:eastAsia="Yu Gothic" w:hAnsi="Times New Roman" w:cs="Times New Roman"/>
          <w:sz w:val="24"/>
          <w:szCs w:val="24"/>
        </w:rPr>
        <w:t>55, 2: 163-191.</w:t>
      </w:r>
    </w:p>
    <w:p w14:paraId="6B90180B" w14:textId="7A6DE3ED" w:rsidR="00D1647D" w:rsidRPr="00295CCC" w:rsidRDefault="00227BD0" w:rsidP="001A1175">
      <w:pPr>
        <w:rPr>
          <w:rFonts w:ascii="Times New Roman" w:hAnsi="Times New Roman" w:cs="Times New Roman"/>
          <w:sz w:val="24"/>
          <w:szCs w:val="24"/>
        </w:rPr>
      </w:pPr>
      <w:r w:rsidRPr="00047547">
        <w:rPr>
          <w:rFonts w:ascii="Times New Roman" w:hAnsi="Times New Roman" w:cs="Times New Roman"/>
          <w:sz w:val="24"/>
          <w:szCs w:val="24"/>
        </w:rPr>
        <w:t xml:space="preserve">O’Hare, Bernadette, </w:t>
      </w:r>
      <w:r w:rsidR="00594D8D">
        <w:rPr>
          <w:rFonts w:ascii="Times New Roman" w:hAnsi="Times New Roman" w:cs="Times New Roman"/>
          <w:sz w:val="24"/>
          <w:szCs w:val="24"/>
        </w:rPr>
        <w:t>and</w:t>
      </w:r>
      <w:r w:rsidRPr="00047547">
        <w:rPr>
          <w:rFonts w:ascii="Times New Roman" w:hAnsi="Times New Roman" w:cs="Times New Roman"/>
          <w:sz w:val="24"/>
          <w:szCs w:val="24"/>
        </w:rPr>
        <w:t xml:space="preserve"> David P. Southall. 2007. </w:t>
      </w:r>
      <w:r w:rsidR="00594D8D">
        <w:rPr>
          <w:rFonts w:ascii="Times New Roman" w:hAnsi="Times New Roman" w:cs="Times New Roman"/>
          <w:sz w:val="24"/>
          <w:szCs w:val="24"/>
        </w:rPr>
        <w:t>“</w:t>
      </w:r>
      <w:r w:rsidRPr="00047547">
        <w:rPr>
          <w:rFonts w:ascii="Times New Roman" w:hAnsi="Times New Roman" w:cs="Times New Roman"/>
          <w:sz w:val="24"/>
          <w:szCs w:val="24"/>
        </w:rPr>
        <w:t>First Do No Harm: The Impact of Recent Armed Conflict on Maternal and Child Health in Sub-Saharan Africa.</w:t>
      </w:r>
      <w:r w:rsidR="00594D8D">
        <w:rPr>
          <w:rFonts w:ascii="Times New Roman" w:hAnsi="Times New Roman" w:cs="Times New Roman"/>
          <w:sz w:val="24"/>
          <w:szCs w:val="24"/>
        </w:rPr>
        <w:t>”</w:t>
      </w:r>
      <w:r w:rsidRPr="00047547">
        <w:rPr>
          <w:rFonts w:ascii="Times New Roman" w:hAnsi="Times New Roman" w:cs="Times New Roman"/>
          <w:sz w:val="24"/>
          <w:szCs w:val="24"/>
        </w:rPr>
        <w:t xml:space="preserve"> </w:t>
      </w:r>
      <w:r w:rsidRPr="00047547">
        <w:rPr>
          <w:rFonts w:ascii="Times New Roman" w:hAnsi="Times New Roman" w:cs="Times New Roman"/>
          <w:i/>
          <w:sz w:val="24"/>
          <w:szCs w:val="24"/>
        </w:rPr>
        <w:t xml:space="preserve">Journal of the Royal Society of Medicine, </w:t>
      </w:r>
      <w:r w:rsidRPr="00047547">
        <w:rPr>
          <w:rFonts w:ascii="Times New Roman" w:hAnsi="Times New Roman" w:cs="Times New Roman"/>
          <w:sz w:val="24"/>
          <w:szCs w:val="24"/>
        </w:rPr>
        <w:t>100</w:t>
      </w:r>
      <w:r w:rsidR="00594D8D">
        <w:rPr>
          <w:rFonts w:ascii="Times New Roman" w:hAnsi="Times New Roman" w:cs="Times New Roman"/>
          <w:sz w:val="24"/>
          <w:szCs w:val="24"/>
        </w:rPr>
        <w:t xml:space="preserve">, </w:t>
      </w:r>
      <w:r w:rsidRPr="00047547">
        <w:rPr>
          <w:rFonts w:ascii="Times New Roman" w:hAnsi="Times New Roman" w:cs="Times New Roman"/>
          <w:sz w:val="24"/>
          <w:szCs w:val="24"/>
        </w:rPr>
        <w:t>12</w:t>
      </w:r>
      <w:r w:rsidR="00594D8D">
        <w:rPr>
          <w:rFonts w:ascii="Times New Roman" w:hAnsi="Times New Roman" w:cs="Times New Roman"/>
          <w:sz w:val="24"/>
          <w:szCs w:val="24"/>
        </w:rPr>
        <w:t>:</w:t>
      </w:r>
      <w:r w:rsidRPr="00047547">
        <w:rPr>
          <w:rFonts w:ascii="Times New Roman" w:hAnsi="Times New Roman" w:cs="Times New Roman"/>
          <w:sz w:val="24"/>
          <w:szCs w:val="24"/>
        </w:rPr>
        <w:t xml:space="preserve"> 564-570.</w:t>
      </w:r>
    </w:p>
    <w:p w14:paraId="4E1BF25D" w14:textId="5F8A714A" w:rsidR="00CA640C" w:rsidRDefault="00CA640C" w:rsidP="001A1175">
      <w:pPr>
        <w:rPr>
          <w:rFonts w:ascii="Times New Roman" w:hAnsi="Times New Roman" w:cs="Times New Roman"/>
          <w:sz w:val="24"/>
          <w:szCs w:val="24"/>
        </w:rPr>
      </w:pPr>
      <w:r w:rsidRPr="00295CCC">
        <w:rPr>
          <w:rFonts w:ascii="Times New Roman" w:hAnsi="Times New Roman" w:cs="Times New Roman"/>
          <w:sz w:val="24"/>
          <w:szCs w:val="24"/>
        </w:rPr>
        <w:t>Pierson, Paul. 1996. “Increasing Returns, Path Dependence, and the Study of Politics.</w:t>
      </w:r>
      <w:r w:rsidR="00594D8D">
        <w:rPr>
          <w:rFonts w:ascii="Times New Roman" w:hAnsi="Times New Roman" w:cs="Times New Roman"/>
          <w:sz w:val="24"/>
          <w:szCs w:val="24"/>
        </w:rPr>
        <w:t>”</w:t>
      </w:r>
      <w:r w:rsidRPr="00295CCC">
        <w:rPr>
          <w:rFonts w:ascii="Times New Roman" w:hAnsi="Times New Roman" w:cs="Times New Roman"/>
          <w:sz w:val="24"/>
          <w:szCs w:val="24"/>
        </w:rPr>
        <w:t xml:space="preserve"> </w:t>
      </w:r>
      <w:r w:rsidRPr="00295CCC">
        <w:rPr>
          <w:rFonts w:ascii="Times New Roman" w:hAnsi="Times New Roman" w:cs="Times New Roman"/>
          <w:i/>
          <w:iCs/>
          <w:sz w:val="24"/>
          <w:szCs w:val="24"/>
        </w:rPr>
        <w:t>American Political Science Review</w:t>
      </w:r>
      <w:r w:rsidRPr="00295CCC">
        <w:rPr>
          <w:rFonts w:ascii="Times New Roman" w:hAnsi="Times New Roman" w:cs="Times New Roman"/>
          <w:sz w:val="24"/>
          <w:szCs w:val="24"/>
        </w:rPr>
        <w:t>, 94, 2:251-267.</w:t>
      </w:r>
    </w:p>
    <w:p w14:paraId="5FE142BC" w14:textId="4815A92F" w:rsidR="00D1647D" w:rsidRPr="00295CCC" w:rsidRDefault="00594D8D" w:rsidP="001A1175">
      <w:pPr>
        <w:rPr>
          <w:rFonts w:ascii="Times New Roman" w:hAnsi="Times New Roman" w:cs="Times New Roman"/>
          <w:sz w:val="24"/>
          <w:szCs w:val="24"/>
        </w:rPr>
      </w:pPr>
      <w:r w:rsidRPr="00047547">
        <w:rPr>
          <w:rFonts w:ascii="Times New Roman" w:hAnsi="Times New Roman" w:cs="Times New Roman"/>
          <w:sz w:val="24"/>
          <w:szCs w:val="24"/>
        </w:rPr>
        <w:t>Poe, Steven</w:t>
      </w:r>
      <w:r>
        <w:rPr>
          <w:rFonts w:ascii="Times New Roman" w:hAnsi="Times New Roman" w:cs="Times New Roman"/>
          <w:sz w:val="24"/>
          <w:szCs w:val="24"/>
        </w:rPr>
        <w:t xml:space="preserve"> C.</w:t>
      </w:r>
      <w:r w:rsidRPr="00047547">
        <w:rPr>
          <w:rFonts w:ascii="Times New Roman" w:hAnsi="Times New Roman" w:cs="Times New Roman"/>
          <w:sz w:val="24"/>
          <w:szCs w:val="24"/>
        </w:rPr>
        <w:t xml:space="preserve">, </w:t>
      </w:r>
      <w:r>
        <w:rPr>
          <w:rFonts w:ascii="Times New Roman" w:hAnsi="Times New Roman" w:cs="Times New Roman"/>
          <w:sz w:val="24"/>
          <w:szCs w:val="24"/>
        </w:rPr>
        <w:t>and</w:t>
      </w:r>
      <w:r w:rsidRPr="00047547">
        <w:rPr>
          <w:rFonts w:ascii="Times New Roman" w:hAnsi="Times New Roman" w:cs="Times New Roman"/>
          <w:sz w:val="24"/>
          <w:szCs w:val="24"/>
        </w:rPr>
        <w:t xml:space="preserve"> Neal Tate. 1994. </w:t>
      </w:r>
      <w:r>
        <w:rPr>
          <w:rFonts w:ascii="Times New Roman" w:hAnsi="Times New Roman" w:cs="Times New Roman"/>
          <w:sz w:val="24"/>
          <w:szCs w:val="24"/>
        </w:rPr>
        <w:t>“</w:t>
      </w:r>
      <w:r w:rsidRPr="00047547">
        <w:rPr>
          <w:rFonts w:ascii="Times New Roman" w:hAnsi="Times New Roman" w:cs="Times New Roman"/>
          <w:sz w:val="24"/>
          <w:szCs w:val="24"/>
        </w:rPr>
        <w:t>Repression of Human-Rights to Personal Integrity in the 1980s: A Global Analysis</w:t>
      </w:r>
      <w:r>
        <w:rPr>
          <w:rFonts w:ascii="Times New Roman" w:hAnsi="Times New Roman" w:cs="Times New Roman"/>
          <w:sz w:val="24"/>
          <w:szCs w:val="24"/>
        </w:rPr>
        <w:t>”</w:t>
      </w:r>
      <w:r w:rsidRPr="00047547">
        <w:rPr>
          <w:rFonts w:ascii="Times New Roman" w:hAnsi="Times New Roman" w:cs="Times New Roman"/>
          <w:sz w:val="24"/>
          <w:szCs w:val="24"/>
        </w:rPr>
        <w:t xml:space="preserve">. </w:t>
      </w:r>
      <w:r w:rsidRPr="00047547">
        <w:rPr>
          <w:rFonts w:ascii="Times New Roman" w:hAnsi="Times New Roman" w:cs="Times New Roman"/>
          <w:i/>
          <w:sz w:val="24"/>
          <w:szCs w:val="24"/>
        </w:rPr>
        <w:t xml:space="preserve">American Political Science Review, </w:t>
      </w:r>
      <w:r w:rsidRPr="00047547">
        <w:rPr>
          <w:rFonts w:ascii="Times New Roman" w:hAnsi="Times New Roman" w:cs="Times New Roman"/>
          <w:sz w:val="24"/>
          <w:szCs w:val="24"/>
        </w:rPr>
        <w:t>88</w:t>
      </w:r>
      <w:r>
        <w:rPr>
          <w:rFonts w:ascii="Times New Roman" w:hAnsi="Times New Roman" w:cs="Times New Roman"/>
          <w:sz w:val="24"/>
          <w:szCs w:val="24"/>
        </w:rPr>
        <w:t xml:space="preserve">, </w:t>
      </w:r>
      <w:r w:rsidRPr="00047547">
        <w:rPr>
          <w:rFonts w:ascii="Times New Roman" w:hAnsi="Times New Roman" w:cs="Times New Roman"/>
          <w:sz w:val="24"/>
          <w:szCs w:val="24"/>
        </w:rPr>
        <w:t>4</w:t>
      </w:r>
      <w:r>
        <w:rPr>
          <w:rFonts w:ascii="Times New Roman" w:hAnsi="Times New Roman" w:cs="Times New Roman"/>
          <w:sz w:val="24"/>
          <w:szCs w:val="24"/>
        </w:rPr>
        <w:t>:</w:t>
      </w:r>
      <w:r w:rsidRPr="00047547">
        <w:rPr>
          <w:rFonts w:ascii="Times New Roman" w:hAnsi="Times New Roman" w:cs="Times New Roman"/>
          <w:sz w:val="24"/>
          <w:szCs w:val="24"/>
        </w:rPr>
        <w:t xml:space="preserve"> 853-872.</w:t>
      </w:r>
    </w:p>
    <w:bookmarkEnd w:id="16"/>
    <w:p w14:paraId="0CE3DC4B" w14:textId="22D8B3D1" w:rsidR="00FD2F5D" w:rsidRDefault="00FD2F5D" w:rsidP="001A1175">
      <w:pPr>
        <w:rPr>
          <w:rFonts w:ascii="Times New Roman" w:hAnsi="Times New Roman" w:cs="Times New Roman"/>
          <w:sz w:val="24"/>
          <w:szCs w:val="24"/>
        </w:rPr>
      </w:pPr>
      <w:r w:rsidRPr="00295CCC">
        <w:rPr>
          <w:rFonts w:ascii="Times New Roman" w:hAnsi="Times New Roman" w:cs="Times New Roman"/>
          <w:sz w:val="24"/>
          <w:szCs w:val="24"/>
        </w:rPr>
        <w:t xml:space="preserve">Rasler, Karen. 2000. “Shocks, Expectancy Revision, and the De-escalation of Protracted Conflicts: The Israeli-Palestinian Case.” </w:t>
      </w:r>
      <w:r w:rsidRPr="00295CCC">
        <w:rPr>
          <w:rFonts w:ascii="Times New Roman" w:hAnsi="Times New Roman" w:cs="Times New Roman"/>
          <w:i/>
          <w:iCs/>
          <w:sz w:val="24"/>
          <w:szCs w:val="24"/>
        </w:rPr>
        <w:t>Journal of Peace Research</w:t>
      </w:r>
      <w:r w:rsidRPr="00295CCC">
        <w:rPr>
          <w:rFonts w:ascii="Times New Roman" w:hAnsi="Times New Roman" w:cs="Times New Roman"/>
          <w:sz w:val="24"/>
          <w:szCs w:val="24"/>
        </w:rPr>
        <w:t>, 37,6: 699-720.</w:t>
      </w:r>
    </w:p>
    <w:p w14:paraId="6E7723C7" w14:textId="73D212C2" w:rsidR="00D1647D" w:rsidRPr="00295CCC" w:rsidRDefault="00594D8D" w:rsidP="001A1175">
      <w:pPr>
        <w:rPr>
          <w:rFonts w:ascii="Times New Roman" w:hAnsi="Times New Roman" w:cs="Times New Roman"/>
          <w:sz w:val="24"/>
          <w:szCs w:val="24"/>
        </w:rPr>
      </w:pPr>
      <w:r>
        <w:rPr>
          <w:rFonts w:ascii="Times New Roman" w:hAnsi="Times New Roman" w:cs="Times New Roman"/>
          <w:sz w:val="24"/>
          <w:szCs w:val="24"/>
        </w:rPr>
        <w:t xml:space="preserve">Richards, David L., Alyssa Webb, and K. Chad Clay. 2015. “Respect for Physical-Integrity Rights in the Twenty-First Century: Evaluating Poe and Tate’s Model 20 Years Later.” </w:t>
      </w:r>
      <w:r>
        <w:rPr>
          <w:rFonts w:ascii="Times New Roman" w:hAnsi="Times New Roman" w:cs="Times New Roman"/>
          <w:i/>
          <w:iCs/>
          <w:sz w:val="24"/>
          <w:szCs w:val="24"/>
        </w:rPr>
        <w:t xml:space="preserve">Journal of Human Rights, </w:t>
      </w:r>
      <w:r>
        <w:rPr>
          <w:rFonts w:ascii="Times New Roman" w:hAnsi="Times New Roman" w:cs="Times New Roman"/>
          <w:sz w:val="24"/>
          <w:szCs w:val="24"/>
        </w:rPr>
        <w:t>14, 3: 291-311.</w:t>
      </w:r>
    </w:p>
    <w:p w14:paraId="1A7E52E3" w14:textId="6B6FD0AD" w:rsidR="00CC5A50" w:rsidRPr="00295CCC" w:rsidRDefault="00CC5A50" w:rsidP="001A1175">
      <w:pPr>
        <w:rPr>
          <w:rFonts w:ascii="Times New Roman" w:hAnsi="Times New Roman" w:cs="Times New Roman"/>
          <w:sz w:val="24"/>
          <w:szCs w:val="24"/>
        </w:rPr>
      </w:pPr>
      <w:r w:rsidRPr="00295CCC">
        <w:rPr>
          <w:rFonts w:ascii="Times New Roman" w:hAnsi="Times New Roman" w:cs="Times New Roman"/>
          <w:sz w:val="24"/>
          <w:szCs w:val="24"/>
        </w:rPr>
        <w:t xml:space="preserve">Sarigil, Zeki. 2015. “Showing the Path to Path Dependence: The Habitual Path.” </w:t>
      </w:r>
      <w:r w:rsidRPr="00295CCC">
        <w:rPr>
          <w:rFonts w:ascii="Times New Roman" w:hAnsi="Times New Roman" w:cs="Times New Roman"/>
          <w:i/>
          <w:iCs/>
          <w:sz w:val="24"/>
          <w:szCs w:val="24"/>
        </w:rPr>
        <w:t>European Political Science Review</w:t>
      </w:r>
      <w:r w:rsidRPr="00295CCC">
        <w:rPr>
          <w:rFonts w:ascii="Times New Roman" w:hAnsi="Times New Roman" w:cs="Times New Roman"/>
          <w:sz w:val="24"/>
          <w:szCs w:val="24"/>
        </w:rPr>
        <w:t>, 7, 2:221-242.</w:t>
      </w:r>
    </w:p>
    <w:p w14:paraId="0C15AA84" w14:textId="7A4351CE" w:rsidR="00CC5A50" w:rsidRPr="00295CCC" w:rsidRDefault="00CC5A50" w:rsidP="001A1175">
      <w:pPr>
        <w:rPr>
          <w:rFonts w:ascii="Times New Roman" w:hAnsi="Times New Roman" w:cs="Times New Roman"/>
          <w:sz w:val="24"/>
          <w:szCs w:val="24"/>
        </w:rPr>
      </w:pPr>
      <w:r w:rsidRPr="00295CCC">
        <w:rPr>
          <w:rFonts w:ascii="Times New Roman" w:hAnsi="Times New Roman" w:cs="Times New Roman"/>
          <w:sz w:val="24"/>
          <w:szCs w:val="24"/>
        </w:rPr>
        <w:t xml:space="preserve">Schieder, Siegfried. 2019 “New Institutionalism and Foreign Policy.” In Brummer et al. (eds), </w:t>
      </w:r>
      <w:r w:rsidRPr="00295CCC">
        <w:rPr>
          <w:rFonts w:ascii="Times New Roman" w:hAnsi="Times New Roman" w:cs="Times New Roman"/>
          <w:i/>
          <w:iCs/>
          <w:sz w:val="24"/>
          <w:szCs w:val="24"/>
        </w:rPr>
        <w:t>Foreign Policy as Public Policy? Promises and Pitfalls</w:t>
      </w:r>
      <w:r w:rsidRPr="00295CCC">
        <w:rPr>
          <w:rFonts w:ascii="Times New Roman" w:hAnsi="Times New Roman" w:cs="Times New Roman"/>
          <w:sz w:val="24"/>
          <w:szCs w:val="24"/>
        </w:rPr>
        <w:t>. Manchester: Manchester University Press.</w:t>
      </w:r>
    </w:p>
    <w:p w14:paraId="059BB7AF" w14:textId="2FECA7E4" w:rsidR="00EE29E2" w:rsidRPr="00295CCC" w:rsidRDefault="00090C28" w:rsidP="001A1175">
      <w:pPr>
        <w:rPr>
          <w:rFonts w:ascii="Times New Roman" w:hAnsi="Times New Roman" w:cs="Times New Roman"/>
          <w:sz w:val="24"/>
          <w:szCs w:val="24"/>
        </w:rPr>
      </w:pPr>
      <w:r w:rsidRPr="00295CCC">
        <w:rPr>
          <w:rFonts w:ascii="Times New Roman" w:hAnsi="Times New Roman" w:cs="Times New Roman"/>
          <w:sz w:val="24"/>
          <w:szCs w:val="24"/>
        </w:rPr>
        <w:lastRenderedPageBreak/>
        <w:t xml:space="preserve">Siverson, Randolph M. and Bruce Bueno de Mesquita. 2017. “The Selectorate Theory and International Politics, </w:t>
      </w:r>
      <w:r w:rsidRPr="00295CCC">
        <w:rPr>
          <w:rFonts w:ascii="Times New Roman" w:hAnsi="Times New Roman" w:cs="Times New Roman"/>
          <w:i/>
          <w:iCs/>
          <w:sz w:val="24"/>
          <w:szCs w:val="24"/>
        </w:rPr>
        <w:t>Oxford Research Encyclopedia of Politics</w:t>
      </w:r>
      <w:r w:rsidRPr="00295CCC">
        <w:rPr>
          <w:rFonts w:ascii="Times New Roman" w:hAnsi="Times New Roman" w:cs="Times New Roman"/>
          <w:sz w:val="24"/>
          <w:szCs w:val="24"/>
        </w:rPr>
        <w:t>. Oxford: Oxford University Press.</w:t>
      </w:r>
    </w:p>
    <w:p w14:paraId="24F1ADF2" w14:textId="6A584DCB" w:rsidR="00594D8D" w:rsidRDefault="000613C5" w:rsidP="001A1175">
      <w:pPr>
        <w:rPr>
          <w:rFonts w:ascii="Times New Roman" w:hAnsi="Times New Roman" w:cs="Times New Roman"/>
          <w:sz w:val="24"/>
          <w:szCs w:val="24"/>
        </w:rPr>
      </w:pPr>
      <w:r w:rsidRPr="0053474A">
        <w:rPr>
          <w:rFonts w:ascii="Times New Roman" w:hAnsi="Times New Roman" w:cs="Times New Roman"/>
          <w:sz w:val="24"/>
          <w:szCs w:val="24"/>
        </w:rPr>
        <w:t xml:space="preserve">Thies, Cameron G. 2008. </w:t>
      </w:r>
      <w:r>
        <w:rPr>
          <w:rFonts w:ascii="Times New Roman" w:hAnsi="Times New Roman" w:cs="Times New Roman"/>
          <w:sz w:val="24"/>
          <w:szCs w:val="24"/>
        </w:rPr>
        <w:t>“</w:t>
      </w:r>
      <w:r w:rsidRPr="0053474A">
        <w:rPr>
          <w:rFonts w:ascii="Times New Roman" w:hAnsi="Times New Roman" w:cs="Times New Roman"/>
          <w:sz w:val="24"/>
          <w:szCs w:val="24"/>
        </w:rPr>
        <w:t>The Construction of a Latin American Interstate Culture of Rivalry</w:t>
      </w:r>
      <w:r>
        <w:rPr>
          <w:rFonts w:ascii="Times New Roman" w:hAnsi="Times New Roman" w:cs="Times New Roman"/>
          <w:sz w:val="24"/>
          <w:szCs w:val="24"/>
        </w:rPr>
        <w:t>”</w:t>
      </w:r>
      <w:r w:rsidRPr="0053474A">
        <w:rPr>
          <w:rFonts w:ascii="Times New Roman" w:hAnsi="Times New Roman" w:cs="Times New Roman"/>
          <w:sz w:val="24"/>
          <w:szCs w:val="24"/>
        </w:rPr>
        <w:t xml:space="preserve">. </w:t>
      </w:r>
      <w:r w:rsidRPr="0053474A">
        <w:rPr>
          <w:rFonts w:ascii="Times New Roman" w:hAnsi="Times New Roman" w:cs="Times New Roman"/>
          <w:i/>
          <w:iCs/>
          <w:sz w:val="24"/>
          <w:szCs w:val="24"/>
        </w:rPr>
        <w:t>International Interactions</w:t>
      </w:r>
      <w:r w:rsidRPr="0053474A">
        <w:rPr>
          <w:rFonts w:ascii="Times New Roman" w:hAnsi="Times New Roman" w:cs="Times New Roman"/>
          <w:sz w:val="24"/>
          <w:szCs w:val="24"/>
        </w:rPr>
        <w:t>, 34(3), 231-257.</w:t>
      </w:r>
    </w:p>
    <w:p w14:paraId="58AD4A1F" w14:textId="77777777" w:rsidR="00594D8D" w:rsidRDefault="00594D8D">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49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097"/>
        <w:gridCol w:w="3026"/>
      </w:tblGrid>
      <w:tr w:rsidR="00DB32B8" w:rsidRPr="00834FEA" w14:paraId="4D1A52F2" w14:textId="77777777" w:rsidTr="00DB32B8">
        <w:trPr>
          <w:trHeight w:val="431"/>
        </w:trPr>
        <w:tc>
          <w:tcPr>
            <w:tcW w:w="5000" w:type="pct"/>
            <w:gridSpan w:val="3"/>
            <w:tcBorders>
              <w:bottom w:val="single" w:sz="4" w:space="0" w:color="auto"/>
            </w:tcBorders>
          </w:tcPr>
          <w:p w14:paraId="314F5FC8" w14:textId="1BE54B8A" w:rsidR="00DB32B8" w:rsidRPr="00C6488D" w:rsidRDefault="00C6488D" w:rsidP="00D7716F">
            <w:pPr>
              <w:keepNext/>
              <w:rPr>
                <w:rFonts w:ascii="Times New Roman" w:hAnsi="Times New Roman" w:cs="Times New Roman"/>
                <w:b/>
                <w:bCs/>
                <w:sz w:val="24"/>
                <w:szCs w:val="24"/>
              </w:rPr>
            </w:pPr>
            <w:r w:rsidRPr="00C6488D">
              <w:rPr>
                <w:rFonts w:ascii="Times New Roman" w:hAnsi="Times New Roman" w:cs="Times New Roman"/>
                <w:b/>
                <w:bCs/>
                <w:sz w:val="24"/>
                <w:szCs w:val="24"/>
              </w:rPr>
              <w:lastRenderedPageBreak/>
              <w:t>APPENDIX A: Characteristics of Political Shocks Across the Literature</w:t>
            </w:r>
          </w:p>
        </w:tc>
      </w:tr>
      <w:tr w:rsidR="00DB32B8" w:rsidRPr="00834FEA" w14:paraId="6606782F" w14:textId="77777777" w:rsidTr="00DB32B8">
        <w:trPr>
          <w:trHeight w:val="431"/>
        </w:trPr>
        <w:tc>
          <w:tcPr>
            <w:tcW w:w="1720" w:type="pct"/>
            <w:tcBorders>
              <w:bottom w:val="single" w:sz="4" w:space="0" w:color="auto"/>
            </w:tcBorders>
            <w:vAlign w:val="center"/>
          </w:tcPr>
          <w:p w14:paraId="05ECFF36" w14:textId="77777777" w:rsidR="00DB32B8" w:rsidRPr="00834FEA" w:rsidRDefault="00DB32B8" w:rsidP="00D7716F">
            <w:pPr>
              <w:spacing w:line="276" w:lineRule="auto"/>
              <w:jc w:val="center"/>
              <w:rPr>
                <w:rFonts w:ascii="Times New Roman" w:hAnsi="Times New Roman" w:cs="Times New Roman"/>
                <w:b/>
                <w:bCs/>
                <w:sz w:val="24"/>
                <w:szCs w:val="24"/>
              </w:rPr>
            </w:pPr>
            <w:r w:rsidRPr="00834FEA">
              <w:rPr>
                <w:rFonts w:ascii="Times New Roman" w:hAnsi="Times New Roman" w:cs="Times New Roman"/>
                <w:b/>
                <w:bCs/>
                <w:sz w:val="24"/>
                <w:szCs w:val="24"/>
              </w:rPr>
              <w:t>Discussed as:</w:t>
            </w:r>
          </w:p>
        </w:tc>
        <w:tc>
          <w:tcPr>
            <w:tcW w:w="3280" w:type="pct"/>
            <w:gridSpan w:val="2"/>
            <w:tcBorders>
              <w:bottom w:val="single" w:sz="4" w:space="0" w:color="auto"/>
            </w:tcBorders>
            <w:vAlign w:val="center"/>
          </w:tcPr>
          <w:p w14:paraId="7007604E" w14:textId="77777777" w:rsidR="00DB32B8" w:rsidRPr="00834FEA" w:rsidRDefault="00DB32B8" w:rsidP="00D7716F">
            <w:pPr>
              <w:spacing w:line="276" w:lineRule="auto"/>
              <w:jc w:val="center"/>
              <w:rPr>
                <w:rFonts w:ascii="Times New Roman" w:hAnsi="Times New Roman" w:cs="Times New Roman"/>
                <w:b/>
                <w:bCs/>
                <w:sz w:val="24"/>
                <w:szCs w:val="24"/>
              </w:rPr>
            </w:pPr>
            <w:r w:rsidRPr="00834FEA">
              <w:rPr>
                <w:rFonts w:ascii="Times New Roman" w:hAnsi="Times New Roman" w:cs="Times New Roman"/>
                <w:b/>
                <w:bCs/>
                <w:sz w:val="24"/>
                <w:szCs w:val="24"/>
              </w:rPr>
              <w:t>Sample Citations:</w:t>
            </w:r>
          </w:p>
        </w:tc>
      </w:tr>
      <w:tr w:rsidR="00DB32B8" w:rsidRPr="00834FEA" w14:paraId="727F0AD7" w14:textId="77777777" w:rsidTr="00DB32B8">
        <w:trPr>
          <w:trHeight w:val="287"/>
        </w:trPr>
        <w:tc>
          <w:tcPr>
            <w:tcW w:w="1720" w:type="pct"/>
          </w:tcPr>
          <w:p w14:paraId="213D99FD" w14:textId="77777777" w:rsidR="00DB32B8" w:rsidRPr="00834FEA" w:rsidRDefault="00DB32B8" w:rsidP="00D7716F">
            <w:pPr>
              <w:rPr>
                <w:rFonts w:ascii="Times New Roman" w:hAnsi="Times New Roman" w:cs="Times New Roman"/>
                <w:b/>
                <w:bCs/>
                <w:sz w:val="24"/>
                <w:szCs w:val="24"/>
              </w:rPr>
            </w:pPr>
          </w:p>
        </w:tc>
        <w:tc>
          <w:tcPr>
            <w:tcW w:w="1659" w:type="pct"/>
          </w:tcPr>
          <w:p w14:paraId="53493C80" w14:textId="77777777" w:rsidR="00DB32B8" w:rsidRPr="00834FEA" w:rsidRDefault="00DB32B8" w:rsidP="00D7716F">
            <w:pPr>
              <w:ind w:left="720"/>
              <w:rPr>
                <w:rFonts w:ascii="Times New Roman" w:hAnsi="Times New Roman" w:cs="Times New Roman"/>
                <w:b/>
                <w:bCs/>
                <w:sz w:val="24"/>
                <w:szCs w:val="24"/>
              </w:rPr>
            </w:pPr>
          </w:p>
        </w:tc>
        <w:tc>
          <w:tcPr>
            <w:tcW w:w="1621" w:type="pct"/>
          </w:tcPr>
          <w:p w14:paraId="3BA2E02E" w14:textId="77777777" w:rsidR="00DB32B8" w:rsidRPr="00834FEA" w:rsidRDefault="00DB32B8" w:rsidP="00D7716F">
            <w:pPr>
              <w:ind w:left="720"/>
              <w:rPr>
                <w:rFonts w:ascii="Times New Roman" w:hAnsi="Times New Roman" w:cs="Times New Roman"/>
                <w:b/>
                <w:bCs/>
                <w:sz w:val="24"/>
                <w:szCs w:val="24"/>
              </w:rPr>
            </w:pPr>
          </w:p>
        </w:tc>
      </w:tr>
      <w:tr w:rsidR="00DB32B8" w:rsidRPr="00834FEA" w14:paraId="495A76E6" w14:textId="77777777" w:rsidTr="00DB32B8">
        <w:trPr>
          <w:trHeight w:val="393"/>
        </w:trPr>
        <w:tc>
          <w:tcPr>
            <w:tcW w:w="1720" w:type="pct"/>
            <w:shd w:val="clear" w:color="auto" w:fill="auto"/>
          </w:tcPr>
          <w:p w14:paraId="0ECFDAE9" w14:textId="77777777" w:rsidR="00DB32B8" w:rsidRPr="00834FEA" w:rsidRDefault="00DB32B8" w:rsidP="00D7716F">
            <w:pPr>
              <w:rPr>
                <w:rFonts w:ascii="Times New Roman" w:hAnsi="Times New Roman" w:cs="Times New Roman"/>
                <w:sz w:val="24"/>
                <w:szCs w:val="24"/>
              </w:rPr>
            </w:pPr>
            <w:r w:rsidRPr="00834FEA">
              <w:rPr>
                <w:rFonts w:ascii="Times New Roman" w:hAnsi="Times New Roman" w:cs="Times New Roman"/>
                <w:sz w:val="24"/>
                <w:szCs w:val="24"/>
              </w:rPr>
              <w:t>rapidly occurring; sudden</w:t>
            </w:r>
          </w:p>
        </w:tc>
        <w:tc>
          <w:tcPr>
            <w:tcW w:w="3280" w:type="pct"/>
            <w:gridSpan w:val="2"/>
            <w:shd w:val="clear" w:color="auto" w:fill="auto"/>
          </w:tcPr>
          <w:p w14:paraId="570DD969" w14:textId="77777777" w:rsidR="00DB32B8" w:rsidRPr="00834FEA" w:rsidRDefault="00DB32B8" w:rsidP="00D7716F">
            <w:pPr>
              <w:rPr>
                <w:rFonts w:ascii="Times New Roman" w:hAnsi="Times New Roman" w:cs="Times New Roman"/>
                <w:sz w:val="24"/>
                <w:szCs w:val="24"/>
              </w:rPr>
            </w:pPr>
            <w:r w:rsidRPr="00834FEA">
              <w:rPr>
                <w:rFonts w:ascii="Times New Roman" w:hAnsi="Times New Roman" w:cs="Times New Roman"/>
                <w:sz w:val="24"/>
                <w:szCs w:val="24"/>
              </w:rPr>
              <w:t>Salehyan, 2018; Koren &amp; Bagozzi, 2017; Haim, 2016; Mansfield et al., 2016; Jenkins et al., 2014 (</w:t>
            </w:r>
            <w:r w:rsidRPr="00834FEA">
              <w:rPr>
                <w:rFonts w:ascii="Times New Roman" w:hAnsi="Times New Roman" w:cs="Times New Roman"/>
                <w:i/>
                <w:iCs/>
                <w:sz w:val="24"/>
                <w:szCs w:val="24"/>
              </w:rPr>
              <w:t>rapid change</w:t>
            </w:r>
            <w:r w:rsidRPr="00834FEA">
              <w:rPr>
                <w:rFonts w:ascii="Times New Roman" w:hAnsi="Times New Roman" w:cs="Times New Roman"/>
                <w:sz w:val="24"/>
                <w:szCs w:val="24"/>
              </w:rPr>
              <w:t>); McDoom, 2013; Grigorescu, 2010; Carment et al., 2008; Dewan &amp; Shepsle, 2008; Voeten &amp; Brewer, 2006; Collins, 2004; Yang, 1996</w:t>
            </w:r>
          </w:p>
        </w:tc>
      </w:tr>
      <w:tr w:rsidR="00DB32B8" w:rsidRPr="00834FEA" w14:paraId="72A002C2" w14:textId="77777777" w:rsidTr="00DB32B8">
        <w:trPr>
          <w:trHeight w:val="393"/>
        </w:trPr>
        <w:tc>
          <w:tcPr>
            <w:tcW w:w="1720" w:type="pct"/>
          </w:tcPr>
          <w:p w14:paraId="2E9022A8" w14:textId="0C3C5C3C" w:rsidR="00DB32B8" w:rsidRPr="00834FEA" w:rsidRDefault="00DB32B8" w:rsidP="00D7716F">
            <w:pPr>
              <w:spacing w:before="240"/>
              <w:rPr>
                <w:rFonts w:ascii="Times New Roman" w:hAnsi="Times New Roman" w:cs="Times New Roman"/>
                <w:sz w:val="24"/>
                <w:szCs w:val="24"/>
              </w:rPr>
            </w:pPr>
            <w:r w:rsidRPr="00834FEA">
              <w:rPr>
                <w:rFonts w:ascii="Times New Roman" w:hAnsi="Times New Roman" w:cs="Times New Roman"/>
                <w:sz w:val="24"/>
                <w:szCs w:val="24"/>
              </w:rPr>
              <w:t>unanticipated; unexpected; unpredictable</w:t>
            </w:r>
          </w:p>
        </w:tc>
        <w:tc>
          <w:tcPr>
            <w:tcW w:w="3280" w:type="pct"/>
            <w:gridSpan w:val="2"/>
          </w:tcPr>
          <w:p w14:paraId="6A8E5D59" w14:textId="77777777" w:rsidR="00DB32B8" w:rsidRPr="00834FEA" w:rsidRDefault="00DB32B8" w:rsidP="00D7716F">
            <w:pPr>
              <w:pStyle w:val="FootnoteText"/>
              <w:spacing w:before="240" w:after="160"/>
              <w:rPr>
                <w:rFonts w:ascii="Times New Roman" w:hAnsi="Times New Roman" w:cs="Times New Roman"/>
                <w:sz w:val="24"/>
                <w:szCs w:val="24"/>
              </w:rPr>
            </w:pPr>
            <w:r w:rsidRPr="00834FEA">
              <w:rPr>
                <w:rFonts w:ascii="Times New Roman" w:hAnsi="Times New Roman" w:cs="Times New Roman"/>
                <w:sz w:val="24"/>
                <w:szCs w:val="24"/>
              </w:rPr>
              <w:t xml:space="preserve">Barbera et al., 2019/Birkland, 1998; Benton &amp; Philips, 2019; Lyall, 2019; Imerman, 2018; Johnson &amp; Tierney, 2018/2019; Hafner-Burton et al., 2017; Jones, Mattiacci, &amp; Braumoeller, 2017; Haim, 2016; Wood &amp; Wright, 2016; Allee &amp; Peinhardt, 2014; Renshon, 2008; Duffy Toft, 2007; Elhefnawy, 2004; Levy &amp; Gochal, 2001 </w:t>
            </w:r>
          </w:p>
        </w:tc>
      </w:tr>
      <w:tr w:rsidR="00DB32B8" w:rsidRPr="00834FEA" w14:paraId="1AAAD281" w14:textId="77777777" w:rsidTr="00DB32B8">
        <w:trPr>
          <w:trHeight w:val="393"/>
        </w:trPr>
        <w:tc>
          <w:tcPr>
            <w:tcW w:w="1720" w:type="pct"/>
          </w:tcPr>
          <w:p w14:paraId="7F96CE19" w14:textId="77777777" w:rsidR="00DB32B8" w:rsidRPr="00834FEA" w:rsidRDefault="00DB32B8" w:rsidP="00D7716F">
            <w:pPr>
              <w:spacing w:line="276" w:lineRule="auto"/>
              <w:rPr>
                <w:rFonts w:ascii="Times New Roman" w:hAnsi="Times New Roman" w:cs="Times New Roman"/>
                <w:sz w:val="24"/>
                <w:szCs w:val="24"/>
              </w:rPr>
            </w:pPr>
            <w:r w:rsidRPr="00834FEA">
              <w:rPr>
                <w:rFonts w:ascii="Times New Roman" w:hAnsi="Times New Roman" w:cs="Times New Roman"/>
                <w:sz w:val="24"/>
                <w:szCs w:val="24"/>
              </w:rPr>
              <w:t>temporary; transitory; transitional; short run; short-term</w:t>
            </w:r>
          </w:p>
          <w:p w14:paraId="576D9E93" w14:textId="77777777" w:rsidR="00DB32B8" w:rsidRPr="00834FEA" w:rsidRDefault="00DB32B8" w:rsidP="00D7716F">
            <w:pPr>
              <w:rPr>
                <w:rFonts w:ascii="Times New Roman" w:hAnsi="Times New Roman" w:cs="Times New Roman"/>
                <w:sz w:val="24"/>
                <w:szCs w:val="24"/>
              </w:rPr>
            </w:pPr>
          </w:p>
        </w:tc>
        <w:tc>
          <w:tcPr>
            <w:tcW w:w="3280" w:type="pct"/>
            <w:gridSpan w:val="2"/>
          </w:tcPr>
          <w:p w14:paraId="2369533B" w14:textId="77777777" w:rsidR="00DB32B8" w:rsidRPr="00834FEA" w:rsidRDefault="00DB32B8" w:rsidP="00D7716F">
            <w:pPr>
              <w:rPr>
                <w:rFonts w:ascii="Times New Roman" w:hAnsi="Times New Roman" w:cs="Times New Roman"/>
                <w:sz w:val="24"/>
                <w:szCs w:val="24"/>
              </w:rPr>
            </w:pPr>
            <w:r w:rsidRPr="00834FEA">
              <w:rPr>
                <w:rFonts w:ascii="Times New Roman" w:hAnsi="Times New Roman" w:cs="Times New Roman"/>
                <w:sz w:val="24"/>
                <w:szCs w:val="24"/>
              </w:rPr>
              <w:t>Frye &amp; Borisova, 2019; Colgan &amp; Lucas, 2017 (</w:t>
            </w:r>
            <w:r w:rsidRPr="00834FEA">
              <w:rPr>
                <w:rFonts w:ascii="Times New Roman" w:hAnsi="Times New Roman" w:cs="Times New Roman"/>
                <w:i/>
                <w:iCs/>
                <w:sz w:val="24"/>
                <w:szCs w:val="24"/>
              </w:rPr>
              <w:t>finite-duration events</w:t>
            </w:r>
            <w:r w:rsidRPr="00834FEA">
              <w:rPr>
                <w:rFonts w:ascii="Times New Roman" w:hAnsi="Times New Roman" w:cs="Times New Roman"/>
                <w:sz w:val="24"/>
                <w:szCs w:val="24"/>
              </w:rPr>
              <w:t>); Houle &amp; Bodea, 2017; Zakharov, 2016; Little, 2015; Arbatli &amp; Arbatli, 2014; Enns et al., 2014; Pfutze, 2014; Rasler &amp; Thompson, 2011; Iversen &amp; Soskice, 2010; Busby, 2008; Ehrlich, 2007; Fearon, 2004; Krause, 2003; Nicholson et al., 2002; Rasler, 2000; Wallerstein, 1999; Green et al., 1998; Segura &amp; Nicholson, 1995; Meernik &amp; Poe, 1996</w:t>
            </w:r>
          </w:p>
        </w:tc>
      </w:tr>
      <w:tr w:rsidR="00DB32B8" w:rsidRPr="00834FEA" w14:paraId="6038055A" w14:textId="77777777" w:rsidTr="00DB32B8">
        <w:trPr>
          <w:trHeight w:val="393"/>
        </w:trPr>
        <w:tc>
          <w:tcPr>
            <w:tcW w:w="1720" w:type="pct"/>
          </w:tcPr>
          <w:p w14:paraId="265A7110" w14:textId="77777777" w:rsidR="00DB32B8" w:rsidRPr="00834FEA" w:rsidRDefault="00DB32B8" w:rsidP="00D7716F">
            <w:pPr>
              <w:spacing w:before="240" w:line="276" w:lineRule="auto"/>
              <w:rPr>
                <w:rFonts w:ascii="Times New Roman" w:hAnsi="Times New Roman" w:cs="Times New Roman"/>
                <w:sz w:val="24"/>
                <w:szCs w:val="24"/>
              </w:rPr>
            </w:pPr>
            <w:r w:rsidRPr="00834FEA">
              <w:rPr>
                <w:rFonts w:ascii="Times New Roman" w:hAnsi="Times New Roman" w:cs="Times New Roman"/>
                <w:sz w:val="24"/>
                <w:szCs w:val="24"/>
              </w:rPr>
              <w:t>being negative or positive</w:t>
            </w:r>
          </w:p>
        </w:tc>
        <w:tc>
          <w:tcPr>
            <w:tcW w:w="3280" w:type="pct"/>
            <w:gridSpan w:val="2"/>
          </w:tcPr>
          <w:p w14:paraId="76B03040" w14:textId="77777777" w:rsidR="00DB32B8" w:rsidRPr="00834FEA" w:rsidRDefault="00DB32B8" w:rsidP="00D7716F">
            <w:pPr>
              <w:pStyle w:val="FootnoteText"/>
              <w:spacing w:before="240" w:after="160"/>
              <w:rPr>
                <w:rFonts w:ascii="Times New Roman" w:hAnsi="Times New Roman" w:cs="Times New Roman"/>
                <w:sz w:val="24"/>
                <w:szCs w:val="24"/>
              </w:rPr>
            </w:pPr>
            <w:r w:rsidRPr="00834FEA">
              <w:rPr>
                <w:rFonts w:ascii="Times New Roman" w:hAnsi="Times New Roman" w:cs="Times New Roman"/>
                <w:sz w:val="24"/>
                <w:szCs w:val="24"/>
              </w:rPr>
              <w:t>Tollefson, 2020; Beber et al., 2019; Braithwaite &amp; Licht, 2020; Lundgren, 2018; Rooney, 2018; Bagozzi et al., 2017; Knutsen et al., 2017; Betz &amp; Kerner, 2016; Weintraub, 2016; Zakharov, 2016; Brooks, 2014; Pfutze, 2014; Bausch et al., 2013; Hall &amp; Shepsle, 2013; Koubi &amp; Bohmelt, 2013; Bateson, 2012; Blomberg et al., 2011; Bohmelt, 2011; Nielsen et al., 2011; Murshed &amp; Mamoon, 2010; Pop-Eleches, 2007; Rasler, 2000; Tussie, 1998</w:t>
            </w:r>
          </w:p>
        </w:tc>
      </w:tr>
      <w:tr w:rsidR="00DB32B8" w:rsidRPr="00834FEA" w14:paraId="032E55E3" w14:textId="77777777" w:rsidTr="00DB32B8">
        <w:trPr>
          <w:trHeight w:val="393"/>
        </w:trPr>
        <w:tc>
          <w:tcPr>
            <w:tcW w:w="5000" w:type="pct"/>
            <w:gridSpan w:val="3"/>
            <w:tcBorders>
              <w:bottom w:val="single" w:sz="4" w:space="0" w:color="auto"/>
            </w:tcBorders>
          </w:tcPr>
          <w:p w14:paraId="60324282" w14:textId="20FF24D8" w:rsidR="00DB32B8" w:rsidRPr="00834FEA" w:rsidRDefault="00DB32B8" w:rsidP="00D7716F">
            <w:pPr>
              <w:spacing w:before="240" w:after="120"/>
              <w:rPr>
                <w:rFonts w:ascii="Times New Roman" w:hAnsi="Times New Roman" w:cs="Times New Roman"/>
                <w:sz w:val="24"/>
                <w:szCs w:val="24"/>
              </w:rPr>
            </w:pPr>
          </w:p>
        </w:tc>
      </w:tr>
      <w:tr w:rsidR="00DB32B8" w:rsidRPr="00834FEA" w14:paraId="36FDA863" w14:textId="77777777" w:rsidTr="00DB32B8">
        <w:trPr>
          <w:trHeight w:val="393"/>
        </w:trPr>
        <w:tc>
          <w:tcPr>
            <w:tcW w:w="1720" w:type="pct"/>
            <w:tcBorders>
              <w:top w:val="single" w:sz="4" w:space="0" w:color="auto"/>
            </w:tcBorders>
          </w:tcPr>
          <w:p w14:paraId="23A1A515" w14:textId="77777777" w:rsidR="00DB32B8" w:rsidRPr="00834FEA" w:rsidRDefault="00DB32B8" w:rsidP="00D7716F">
            <w:pPr>
              <w:spacing w:before="240"/>
              <w:rPr>
                <w:rFonts w:ascii="Times New Roman" w:hAnsi="Times New Roman" w:cs="Times New Roman"/>
                <w:sz w:val="24"/>
                <w:szCs w:val="24"/>
              </w:rPr>
            </w:pPr>
            <w:r w:rsidRPr="00834FEA">
              <w:rPr>
                <w:rFonts w:ascii="Times New Roman" w:hAnsi="Times New Roman" w:cs="Times New Roman"/>
                <w:sz w:val="24"/>
                <w:szCs w:val="24"/>
              </w:rPr>
              <w:t>occurring repeatedly; successive occurrence; clustered; discrete; discontinuous; discontinuities</w:t>
            </w:r>
          </w:p>
        </w:tc>
        <w:tc>
          <w:tcPr>
            <w:tcW w:w="3280" w:type="pct"/>
            <w:gridSpan w:val="2"/>
            <w:tcBorders>
              <w:top w:val="single" w:sz="4" w:space="0" w:color="auto"/>
            </w:tcBorders>
          </w:tcPr>
          <w:p w14:paraId="0B46D247" w14:textId="77777777" w:rsidR="00DB32B8" w:rsidRPr="00834FEA" w:rsidRDefault="00DB32B8" w:rsidP="00D7716F">
            <w:pPr>
              <w:spacing w:before="240"/>
              <w:rPr>
                <w:rFonts w:ascii="Times New Roman" w:hAnsi="Times New Roman" w:cs="Times New Roman"/>
                <w:sz w:val="24"/>
                <w:szCs w:val="24"/>
              </w:rPr>
            </w:pPr>
            <w:r w:rsidRPr="00834FEA">
              <w:rPr>
                <w:rFonts w:ascii="Times New Roman" w:hAnsi="Times New Roman" w:cs="Times New Roman"/>
                <w:sz w:val="24"/>
                <w:szCs w:val="24"/>
              </w:rPr>
              <w:t>Ahmad, 2019; Drezner, 2019; Grieg et al., 2018; Byman &amp; Kroenig, 2016; Miller et al., 2016; Menaldo, 2012; Bozzoli &amp; Bruck, 2009; Paul, 2008; Duffy Toft, 2007; Reuveny &amp; Thompson, 2007; Creswell, 2002; Nincic &amp; Nincic, 2002</w:t>
            </w:r>
          </w:p>
        </w:tc>
      </w:tr>
      <w:tr w:rsidR="00DB32B8" w:rsidRPr="00834FEA" w14:paraId="4A17A716" w14:textId="77777777" w:rsidTr="00DB32B8">
        <w:trPr>
          <w:trHeight w:val="393"/>
        </w:trPr>
        <w:tc>
          <w:tcPr>
            <w:tcW w:w="1720" w:type="pct"/>
          </w:tcPr>
          <w:p w14:paraId="3C31B974" w14:textId="77777777" w:rsidR="00DB32B8" w:rsidRPr="00834FEA" w:rsidRDefault="00DB32B8" w:rsidP="00D7716F">
            <w:pPr>
              <w:spacing w:before="240" w:line="276" w:lineRule="auto"/>
              <w:rPr>
                <w:rFonts w:ascii="Times New Roman" w:hAnsi="Times New Roman" w:cs="Times New Roman"/>
                <w:sz w:val="24"/>
                <w:szCs w:val="24"/>
              </w:rPr>
            </w:pPr>
            <w:r w:rsidRPr="00834FEA">
              <w:rPr>
                <w:rFonts w:ascii="Times New Roman" w:hAnsi="Times New Roman" w:cs="Times New Roman"/>
                <w:sz w:val="24"/>
                <w:szCs w:val="24"/>
              </w:rPr>
              <w:t>a matter of size: large; small</w:t>
            </w:r>
          </w:p>
          <w:p w14:paraId="5AA468A9" w14:textId="77777777" w:rsidR="00DB32B8" w:rsidRPr="00834FEA" w:rsidRDefault="00DB32B8" w:rsidP="00D7716F">
            <w:pPr>
              <w:spacing w:before="240"/>
              <w:rPr>
                <w:rFonts w:ascii="Times New Roman" w:hAnsi="Times New Roman" w:cs="Times New Roman"/>
                <w:sz w:val="24"/>
                <w:szCs w:val="24"/>
              </w:rPr>
            </w:pPr>
          </w:p>
        </w:tc>
        <w:tc>
          <w:tcPr>
            <w:tcW w:w="3280" w:type="pct"/>
            <w:gridSpan w:val="2"/>
          </w:tcPr>
          <w:p w14:paraId="70500D35" w14:textId="77777777" w:rsidR="00DB32B8" w:rsidRPr="00834FEA" w:rsidRDefault="00DB32B8" w:rsidP="00D7716F">
            <w:pPr>
              <w:spacing w:before="240"/>
              <w:rPr>
                <w:rFonts w:ascii="Times New Roman" w:hAnsi="Times New Roman" w:cs="Times New Roman"/>
                <w:sz w:val="24"/>
                <w:szCs w:val="24"/>
              </w:rPr>
            </w:pPr>
            <w:r w:rsidRPr="00834FEA">
              <w:rPr>
                <w:rFonts w:ascii="Times New Roman" w:hAnsi="Times New Roman" w:cs="Times New Roman"/>
                <w:sz w:val="24"/>
                <w:szCs w:val="24"/>
              </w:rPr>
              <w:t>van der Maat, 2018; Thurner et al., 2018; Philips et al., 2016; Bausch et al., 2013; Serneels &amp; Verpoorten, 2013; Aksoy et al., 2015; Dancygier &amp; Donnelly, 2012; Callander, 2011; Bendor &amp; Swistak, 1997; Bercovitch &amp; Diehl, 1997</w:t>
            </w:r>
          </w:p>
        </w:tc>
      </w:tr>
      <w:tr w:rsidR="00DB32B8" w:rsidRPr="00834FEA" w14:paraId="0860B28C" w14:textId="77777777" w:rsidTr="00DB32B8">
        <w:trPr>
          <w:trHeight w:val="393"/>
        </w:trPr>
        <w:tc>
          <w:tcPr>
            <w:tcW w:w="1720" w:type="pct"/>
          </w:tcPr>
          <w:p w14:paraId="0871C226" w14:textId="77777777" w:rsidR="00DB32B8" w:rsidRPr="00834FEA" w:rsidRDefault="00DB32B8" w:rsidP="00D7716F">
            <w:pPr>
              <w:spacing w:before="240" w:line="276" w:lineRule="auto"/>
              <w:rPr>
                <w:rFonts w:ascii="Times New Roman" w:hAnsi="Times New Roman" w:cs="Times New Roman"/>
                <w:sz w:val="24"/>
                <w:szCs w:val="24"/>
              </w:rPr>
            </w:pPr>
            <w:r w:rsidRPr="00834FEA">
              <w:rPr>
                <w:rFonts w:ascii="Times New Roman" w:hAnsi="Times New Roman" w:cs="Times New Roman"/>
                <w:sz w:val="24"/>
                <w:szCs w:val="24"/>
              </w:rPr>
              <w:lastRenderedPageBreak/>
              <w:t>critical; catalytic; major; massive</w:t>
            </w:r>
          </w:p>
        </w:tc>
        <w:tc>
          <w:tcPr>
            <w:tcW w:w="3280" w:type="pct"/>
            <w:gridSpan w:val="2"/>
          </w:tcPr>
          <w:p w14:paraId="0F31E667" w14:textId="77777777" w:rsidR="00DB32B8" w:rsidRPr="00834FEA" w:rsidRDefault="00DB32B8" w:rsidP="00D7716F">
            <w:pPr>
              <w:spacing w:before="240" w:line="276" w:lineRule="auto"/>
              <w:rPr>
                <w:rFonts w:ascii="Times New Roman" w:hAnsi="Times New Roman" w:cs="Times New Roman"/>
                <w:sz w:val="24"/>
                <w:szCs w:val="24"/>
              </w:rPr>
            </w:pPr>
            <w:r w:rsidRPr="00834FEA">
              <w:rPr>
                <w:rFonts w:ascii="Times New Roman" w:hAnsi="Times New Roman" w:cs="Times New Roman"/>
                <w:sz w:val="24"/>
                <w:szCs w:val="24"/>
              </w:rPr>
              <w:t>Demirel-Pegg, 2017; Hall &amp; Ross, 2015; Parkinson, 2013; Akturk, 2011; Morey, 2011; Beardsley &amp; McQuinn, 2009; Cohen, 2009; Iversen &amp; Soskice, 2009; Paul, 2006; DeRouen Jr., 2000; Hampton, 2000; Liberman, 2000; Hudson &amp; Vore, 1995</w:t>
            </w:r>
          </w:p>
        </w:tc>
      </w:tr>
      <w:tr w:rsidR="00DB32B8" w:rsidRPr="00834FEA" w14:paraId="5B917C89" w14:textId="77777777" w:rsidTr="00DB32B8">
        <w:trPr>
          <w:trHeight w:val="393"/>
        </w:trPr>
        <w:tc>
          <w:tcPr>
            <w:tcW w:w="1720" w:type="pct"/>
          </w:tcPr>
          <w:p w14:paraId="00AE5006" w14:textId="77777777" w:rsidR="00DB32B8" w:rsidRPr="00834FEA" w:rsidRDefault="00DB32B8" w:rsidP="00D7716F">
            <w:pPr>
              <w:rPr>
                <w:rFonts w:ascii="Times New Roman" w:hAnsi="Times New Roman" w:cs="Times New Roman"/>
                <w:sz w:val="24"/>
                <w:szCs w:val="24"/>
              </w:rPr>
            </w:pPr>
            <w:r w:rsidRPr="00834FEA">
              <w:rPr>
                <w:rFonts w:ascii="Times New Roman" w:hAnsi="Times New Roman" w:cs="Times New Roman"/>
                <w:sz w:val="24"/>
                <w:szCs w:val="24"/>
              </w:rPr>
              <w:t>momentous</w:t>
            </w:r>
          </w:p>
        </w:tc>
        <w:tc>
          <w:tcPr>
            <w:tcW w:w="3280" w:type="pct"/>
            <w:gridSpan w:val="2"/>
          </w:tcPr>
          <w:p w14:paraId="3A409B45" w14:textId="77777777" w:rsidR="00DB32B8" w:rsidRPr="00834FEA" w:rsidRDefault="00DB32B8" w:rsidP="00D7716F">
            <w:pPr>
              <w:rPr>
                <w:rFonts w:ascii="Times New Roman" w:hAnsi="Times New Roman" w:cs="Times New Roman"/>
                <w:sz w:val="24"/>
                <w:szCs w:val="24"/>
              </w:rPr>
            </w:pPr>
            <w:r w:rsidRPr="00834FEA">
              <w:rPr>
                <w:rFonts w:ascii="Times New Roman" w:hAnsi="Times New Roman" w:cs="Times New Roman"/>
                <w:sz w:val="24"/>
                <w:szCs w:val="24"/>
              </w:rPr>
              <w:t>Meernik &amp; Poe, 1996</w:t>
            </w:r>
          </w:p>
        </w:tc>
      </w:tr>
      <w:tr w:rsidR="00DB32B8" w:rsidRPr="00834FEA" w14:paraId="6BD52B5A" w14:textId="77777777" w:rsidTr="00DB32B8">
        <w:trPr>
          <w:trHeight w:val="393"/>
        </w:trPr>
        <w:tc>
          <w:tcPr>
            <w:tcW w:w="1720" w:type="pct"/>
          </w:tcPr>
          <w:p w14:paraId="77636A3C" w14:textId="77777777" w:rsidR="00DB32B8" w:rsidRPr="00834FEA" w:rsidRDefault="00DB32B8" w:rsidP="00D7716F">
            <w:pPr>
              <w:spacing w:before="240"/>
              <w:rPr>
                <w:rFonts w:ascii="Times New Roman" w:hAnsi="Times New Roman" w:cs="Times New Roman"/>
                <w:sz w:val="24"/>
                <w:szCs w:val="24"/>
              </w:rPr>
            </w:pPr>
            <w:r w:rsidRPr="00834FEA">
              <w:rPr>
                <w:rFonts w:ascii="Times New Roman" w:hAnsi="Times New Roman" w:cs="Times New Roman"/>
                <w:sz w:val="24"/>
                <w:szCs w:val="24"/>
              </w:rPr>
              <w:t>profound; significant</w:t>
            </w:r>
          </w:p>
        </w:tc>
        <w:tc>
          <w:tcPr>
            <w:tcW w:w="3280" w:type="pct"/>
            <w:gridSpan w:val="2"/>
          </w:tcPr>
          <w:p w14:paraId="3BEF712A" w14:textId="77777777" w:rsidR="00DB32B8" w:rsidRPr="00834FEA" w:rsidRDefault="00DB32B8" w:rsidP="00D7716F">
            <w:pPr>
              <w:spacing w:before="240"/>
              <w:rPr>
                <w:rFonts w:ascii="Times New Roman" w:hAnsi="Times New Roman" w:cs="Times New Roman"/>
                <w:sz w:val="24"/>
                <w:szCs w:val="24"/>
              </w:rPr>
            </w:pPr>
            <w:r w:rsidRPr="00834FEA">
              <w:rPr>
                <w:rFonts w:ascii="Times New Roman" w:hAnsi="Times New Roman" w:cs="Times New Roman"/>
                <w:sz w:val="24"/>
                <w:szCs w:val="24"/>
              </w:rPr>
              <w:t>Imerman, 2018; Lavelle, 2011; Murshed &amp; Mamoon, 2010; Hampton, 2000; Meernik &amp; Poe, 1996</w:t>
            </w:r>
          </w:p>
        </w:tc>
      </w:tr>
      <w:tr w:rsidR="00DB32B8" w:rsidRPr="00834FEA" w14:paraId="4E418BEA" w14:textId="77777777" w:rsidTr="00DB32B8">
        <w:trPr>
          <w:trHeight w:val="393"/>
        </w:trPr>
        <w:tc>
          <w:tcPr>
            <w:tcW w:w="1720" w:type="pct"/>
          </w:tcPr>
          <w:p w14:paraId="6BED0664" w14:textId="77777777" w:rsidR="00DB32B8" w:rsidRPr="00834FEA" w:rsidRDefault="00DB32B8" w:rsidP="00D7716F">
            <w:pPr>
              <w:spacing w:before="240"/>
              <w:rPr>
                <w:rFonts w:ascii="Times New Roman" w:hAnsi="Times New Roman" w:cs="Times New Roman"/>
                <w:sz w:val="24"/>
                <w:szCs w:val="24"/>
              </w:rPr>
            </w:pPr>
            <w:r w:rsidRPr="00834FEA">
              <w:rPr>
                <w:rFonts w:ascii="Times New Roman" w:hAnsi="Times New Roman" w:cs="Times New Roman"/>
                <w:sz w:val="24"/>
                <w:szCs w:val="24"/>
              </w:rPr>
              <w:t>extreme; radical</w:t>
            </w:r>
          </w:p>
        </w:tc>
        <w:tc>
          <w:tcPr>
            <w:tcW w:w="3280" w:type="pct"/>
            <w:gridSpan w:val="2"/>
          </w:tcPr>
          <w:p w14:paraId="7F1B1D57" w14:textId="77777777" w:rsidR="00DB32B8" w:rsidRPr="00834FEA" w:rsidRDefault="00DB32B8" w:rsidP="00D7716F">
            <w:pPr>
              <w:spacing w:before="240"/>
              <w:rPr>
                <w:rFonts w:ascii="Times New Roman" w:hAnsi="Times New Roman" w:cs="Times New Roman"/>
                <w:sz w:val="24"/>
                <w:szCs w:val="24"/>
              </w:rPr>
            </w:pPr>
            <w:r w:rsidRPr="00834FEA">
              <w:rPr>
                <w:rFonts w:ascii="Times New Roman" w:hAnsi="Times New Roman" w:cs="Times New Roman"/>
                <w:sz w:val="24"/>
                <w:szCs w:val="24"/>
              </w:rPr>
              <w:t>Linebarger, 2016; Broz &amp; Plouffe, 2010; Bozzoli &amp; Bruck, 2009</w:t>
            </w:r>
          </w:p>
        </w:tc>
      </w:tr>
      <w:tr w:rsidR="00DB32B8" w:rsidRPr="00834FEA" w14:paraId="0B9D68E2" w14:textId="77777777" w:rsidTr="00DB32B8">
        <w:trPr>
          <w:trHeight w:val="393"/>
        </w:trPr>
        <w:tc>
          <w:tcPr>
            <w:tcW w:w="1720" w:type="pct"/>
          </w:tcPr>
          <w:p w14:paraId="43A16CD8" w14:textId="77777777" w:rsidR="00DB32B8" w:rsidRPr="00834FEA" w:rsidRDefault="00DB32B8" w:rsidP="00D7716F">
            <w:pPr>
              <w:rPr>
                <w:rFonts w:ascii="Times New Roman" w:hAnsi="Times New Roman" w:cs="Times New Roman"/>
                <w:sz w:val="24"/>
                <w:szCs w:val="24"/>
              </w:rPr>
            </w:pPr>
            <w:r w:rsidRPr="00834FEA">
              <w:rPr>
                <w:rFonts w:ascii="Times New Roman" w:hAnsi="Times New Roman" w:cs="Times New Roman"/>
                <w:sz w:val="24"/>
                <w:szCs w:val="24"/>
              </w:rPr>
              <w:t>catastrophic; traumatic</w:t>
            </w:r>
          </w:p>
        </w:tc>
        <w:tc>
          <w:tcPr>
            <w:tcW w:w="3280" w:type="pct"/>
            <w:gridSpan w:val="2"/>
          </w:tcPr>
          <w:p w14:paraId="22D97655" w14:textId="77777777" w:rsidR="00DB32B8" w:rsidRPr="00834FEA" w:rsidRDefault="00DB32B8" w:rsidP="00D7716F">
            <w:pPr>
              <w:rPr>
                <w:rFonts w:ascii="Times New Roman" w:hAnsi="Times New Roman" w:cs="Times New Roman"/>
                <w:sz w:val="24"/>
                <w:szCs w:val="24"/>
              </w:rPr>
            </w:pPr>
            <w:r w:rsidRPr="00834FEA">
              <w:rPr>
                <w:rFonts w:ascii="Times New Roman" w:hAnsi="Times New Roman" w:cs="Times New Roman"/>
                <w:sz w:val="24"/>
                <w:szCs w:val="24"/>
              </w:rPr>
              <w:t>Whitlark, 2017; Renshon, 2008; Farrell, 2005</w:t>
            </w:r>
          </w:p>
        </w:tc>
      </w:tr>
      <w:tr w:rsidR="00DB32B8" w:rsidRPr="00834FEA" w14:paraId="5DFEC328" w14:textId="77777777" w:rsidTr="00DB32B8">
        <w:trPr>
          <w:trHeight w:val="393"/>
        </w:trPr>
        <w:tc>
          <w:tcPr>
            <w:tcW w:w="1720" w:type="pct"/>
          </w:tcPr>
          <w:p w14:paraId="30CD5CF3" w14:textId="77777777" w:rsidR="00DB32B8" w:rsidRPr="00834FEA" w:rsidRDefault="00DB32B8" w:rsidP="00D7716F">
            <w:pPr>
              <w:spacing w:before="240"/>
              <w:rPr>
                <w:rFonts w:ascii="Times New Roman" w:hAnsi="Times New Roman" w:cs="Times New Roman"/>
                <w:sz w:val="24"/>
                <w:szCs w:val="24"/>
              </w:rPr>
            </w:pPr>
            <w:r w:rsidRPr="00834FEA">
              <w:rPr>
                <w:rFonts w:ascii="Times New Roman" w:hAnsi="Times New Roman" w:cs="Times New Roman"/>
                <w:sz w:val="24"/>
                <w:szCs w:val="24"/>
              </w:rPr>
              <w:t>dramatic</w:t>
            </w:r>
          </w:p>
        </w:tc>
        <w:tc>
          <w:tcPr>
            <w:tcW w:w="3280" w:type="pct"/>
            <w:gridSpan w:val="2"/>
          </w:tcPr>
          <w:p w14:paraId="5173AE9E" w14:textId="77777777" w:rsidR="00DB32B8" w:rsidRPr="00834FEA" w:rsidRDefault="00DB32B8" w:rsidP="00D7716F">
            <w:pPr>
              <w:spacing w:before="240"/>
              <w:rPr>
                <w:rFonts w:ascii="Times New Roman" w:hAnsi="Times New Roman" w:cs="Times New Roman"/>
                <w:sz w:val="24"/>
                <w:szCs w:val="24"/>
              </w:rPr>
            </w:pPr>
            <w:r w:rsidRPr="00834FEA">
              <w:rPr>
                <w:rFonts w:ascii="Times New Roman" w:hAnsi="Times New Roman" w:cs="Times New Roman"/>
                <w:sz w:val="24"/>
                <w:szCs w:val="24"/>
              </w:rPr>
              <w:t>Renshon, 2008/Tetlock, 2005; Nincic &amp; Nincic, 2002</w:t>
            </w:r>
          </w:p>
        </w:tc>
      </w:tr>
      <w:tr w:rsidR="00DB32B8" w:rsidRPr="0066796F" w14:paraId="09D255D0" w14:textId="77777777" w:rsidTr="00DB32B8">
        <w:trPr>
          <w:trHeight w:val="393"/>
        </w:trPr>
        <w:tc>
          <w:tcPr>
            <w:tcW w:w="1720" w:type="pct"/>
          </w:tcPr>
          <w:p w14:paraId="1191B49E" w14:textId="6192E128" w:rsidR="00DB32B8" w:rsidRPr="00834FEA" w:rsidRDefault="00DB32B8" w:rsidP="00D7716F">
            <w:pPr>
              <w:spacing w:before="240"/>
              <w:rPr>
                <w:rFonts w:ascii="Times New Roman" w:hAnsi="Times New Roman" w:cs="Times New Roman"/>
                <w:sz w:val="24"/>
                <w:szCs w:val="24"/>
              </w:rPr>
            </w:pPr>
          </w:p>
        </w:tc>
        <w:tc>
          <w:tcPr>
            <w:tcW w:w="3280" w:type="pct"/>
            <w:gridSpan w:val="2"/>
          </w:tcPr>
          <w:p w14:paraId="1DCAD822" w14:textId="4B5D9E68" w:rsidR="00DB32B8" w:rsidRPr="0066796F" w:rsidRDefault="00DB32B8" w:rsidP="00D7716F">
            <w:pPr>
              <w:spacing w:before="240"/>
              <w:rPr>
                <w:rFonts w:ascii="Times New Roman" w:hAnsi="Times New Roman" w:cs="Times New Roman"/>
                <w:sz w:val="24"/>
                <w:szCs w:val="24"/>
              </w:rPr>
            </w:pPr>
          </w:p>
        </w:tc>
      </w:tr>
      <w:tr w:rsidR="00DB32B8" w:rsidRPr="0066796F" w14:paraId="692E9815" w14:textId="77777777" w:rsidTr="00DB32B8">
        <w:trPr>
          <w:trHeight w:val="69"/>
        </w:trPr>
        <w:tc>
          <w:tcPr>
            <w:tcW w:w="5000" w:type="pct"/>
            <w:gridSpan w:val="3"/>
            <w:tcBorders>
              <w:bottom w:val="single" w:sz="4" w:space="0" w:color="auto"/>
            </w:tcBorders>
          </w:tcPr>
          <w:p w14:paraId="6532CEA6" w14:textId="77777777" w:rsidR="00DB32B8" w:rsidRPr="0066796F" w:rsidRDefault="00DB32B8" w:rsidP="00D7716F">
            <w:pPr>
              <w:rPr>
                <w:rFonts w:ascii="Times New Roman" w:hAnsi="Times New Roman" w:cs="Times New Roman"/>
                <w:sz w:val="24"/>
                <w:szCs w:val="24"/>
              </w:rPr>
            </w:pPr>
          </w:p>
        </w:tc>
      </w:tr>
    </w:tbl>
    <w:p w14:paraId="0E93F96C" w14:textId="77777777" w:rsidR="00984F8E" w:rsidRDefault="00984F8E" w:rsidP="00984F8E">
      <w:pPr>
        <w:rPr>
          <w:rFonts w:ascii="Times New Roman" w:hAnsi="Times New Roman" w:cs="Times New Roman"/>
          <w:b/>
          <w:bCs/>
          <w:sz w:val="24"/>
          <w:szCs w:val="24"/>
        </w:rPr>
      </w:pPr>
    </w:p>
    <w:p w14:paraId="7DAF7C79" w14:textId="21E89B4C" w:rsidR="00FA10D6" w:rsidRDefault="00FA10D6">
      <w:pPr>
        <w:rPr>
          <w:rFonts w:ascii="Times New Roman" w:hAnsi="Times New Roman" w:cs="Times New Roman"/>
          <w:b/>
          <w:bCs/>
          <w:sz w:val="24"/>
          <w:szCs w:val="24"/>
        </w:rPr>
      </w:pPr>
      <w:r>
        <w:rPr>
          <w:rFonts w:ascii="Times New Roman" w:hAnsi="Times New Roman" w:cs="Times New Roman"/>
          <w:b/>
          <w:bCs/>
          <w:sz w:val="24"/>
          <w:szCs w:val="24"/>
        </w:rPr>
        <w:br w:type="page"/>
      </w:r>
    </w:p>
    <w:p w14:paraId="7B9AC3A9" w14:textId="64F0A7EA" w:rsidR="00CC477F" w:rsidRPr="00620D0F" w:rsidRDefault="00FA10D6" w:rsidP="00CC477F">
      <w:pPr>
        <w:pStyle w:val="NoSpacing"/>
        <w:rPr>
          <w:rFonts w:ascii="Times New Roman" w:hAnsi="Times New Roman" w:cs="Times New Roman"/>
          <w:b/>
          <w:bCs/>
          <w:sz w:val="24"/>
          <w:szCs w:val="24"/>
        </w:rPr>
      </w:pPr>
      <w:bookmarkStart w:id="17" w:name="_Toc70646631"/>
      <w:r w:rsidRPr="00C82470">
        <w:rPr>
          <w:rFonts w:ascii="Times New Roman" w:hAnsi="Times New Roman" w:cs="Times New Roman"/>
          <w:b/>
          <w:bCs/>
          <w:sz w:val="24"/>
          <w:szCs w:val="24"/>
        </w:rPr>
        <w:lastRenderedPageBreak/>
        <w:t>APPENDIX B</w:t>
      </w:r>
      <w:bookmarkEnd w:id="17"/>
      <w:r w:rsidR="00C82470" w:rsidRPr="00C82470">
        <w:rPr>
          <w:rFonts w:ascii="Times New Roman" w:hAnsi="Times New Roman" w:cs="Times New Roman"/>
          <w:b/>
          <w:bCs/>
          <w:sz w:val="24"/>
          <w:szCs w:val="24"/>
        </w:rPr>
        <w:t xml:space="preserve">. </w:t>
      </w:r>
      <w:r w:rsidR="00CC477F">
        <w:rPr>
          <w:rFonts w:ascii="Times New Roman" w:hAnsi="Times New Roman" w:cs="Times New Roman"/>
          <w:b/>
          <w:bCs/>
          <w:sz w:val="24"/>
          <w:szCs w:val="24"/>
        </w:rPr>
        <w:t xml:space="preserve"> </w:t>
      </w:r>
      <w:r w:rsidR="00CC477F" w:rsidRPr="00620D0F">
        <w:rPr>
          <w:rFonts w:ascii="Times New Roman" w:hAnsi="Times New Roman" w:cs="Times New Roman"/>
          <w:b/>
          <w:bCs/>
          <w:sz w:val="24"/>
          <w:szCs w:val="24"/>
        </w:rPr>
        <w:t xml:space="preserve">Sample </w:t>
      </w:r>
      <w:r w:rsidR="00CC477F">
        <w:rPr>
          <w:rFonts w:ascii="Times New Roman" w:hAnsi="Times New Roman" w:cs="Times New Roman"/>
          <w:b/>
          <w:bCs/>
          <w:sz w:val="24"/>
          <w:szCs w:val="24"/>
        </w:rPr>
        <w:t xml:space="preserve">(N =103) </w:t>
      </w:r>
      <w:r w:rsidR="00CC477F" w:rsidRPr="00620D0F">
        <w:rPr>
          <w:rFonts w:ascii="Times New Roman" w:hAnsi="Times New Roman" w:cs="Times New Roman"/>
          <w:b/>
          <w:bCs/>
          <w:sz w:val="24"/>
          <w:szCs w:val="24"/>
        </w:rPr>
        <w:t>of Economic Punctuations with Associated Events (PPS’s)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1694"/>
        <w:gridCol w:w="859"/>
        <w:gridCol w:w="803"/>
        <w:gridCol w:w="5238"/>
      </w:tblGrid>
      <w:tr w:rsidR="00CC477F" w:rsidRPr="00EE5852" w14:paraId="6305AF31" w14:textId="77777777" w:rsidTr="007D643C">
        <w:trPr>
          <w:trHeight w:val="144"/>
        </w:trPr>
        <w:tc>
          <w:tcPr>
            <w:tcW w:w="409" w:type="pct"/>
            <w:tcBorders>
              <w:top w:val="single" w:sz="8" w:space="0" w:color="auto"/>
              <w:bottom w:val="single" w:sz="8" w:space="0" w:color="auto"/>
            </w:tcBorders>
            <w:vAlign w:val="center"/>
          </w:tcPr>
          <w:p w14:paraId="7B5129EB" w14:textId="77777777" w:rsidR="00CC477F" w:rsidRPr="00EE5852" w:rsidRDefault="00CC477F" w:rsidP="007D643C">
            <w:pPr>
              <w:rPr>
                <w:rFonts w:ascii="Times New Roman" w:hAnsi="Times New Roman" w:cs="Times New Roman"/>
                <w:b/>
              </w:rPr>
            </w:pPr>
          </w:p>
        </w:tc>
        <w:tc>
          <w:tcPr>
            <w:tcW w:w="905" w:type="pct"/>
            <w:tcBorders>
              <w:top w:val="single" w:sz="4" w:space="0" w:color="auto"/>
              <w:bottom w:val="single" w:sz="8" w:space="0" w:color="auto"/>
            </w:tcBorders>
            <w:vAlign w:val="center"/>
          </w:tcPr>
          <w:p w14:paraId="73C22291" w14:textId="77777777" w:rsidR="00CC477F" w:rsidRPr="00EE5852" w:rsidRDefault="00CC477F" w:rsidP="007D643C">
            <w:pPr>
              <w:rPr>
                <w:rFonts w:ascii="Times New Roman" w:hAnsi="Times New Roman" w:cs="Times New Roman"/>
                <w:b/>
              </w:rPr>
            </w:pPr>
            <w:r w:rsidRPr="00EE5852">
              <w:rPr>
                <w:rFonts w:ascii="Times New Roman" w:hAnsi="Times New Roman" w:cs="Times New Roman"/>
                <w:b/>
              </w:rPr>
              <w:t>Country</w:t>
            </w:r>
          </w:p>
        </w:tc>
        <w:tc>
          <w:tcPr>
            <w:tcW w:w="459" w:type="pct"/>
            <w:tcBorders>
              <w:top w:val="single" w:sz="4" w:space="0" w:color="auto"/>
              <w:bottom w:val="single" w:sz="8" w:space="0" w:color="auto"/>
            </w:tcBorders>
            <w:vAlign w:val="center"/>
          </w:tcPr>
          <w:p w14:paraId="79B4FACD" w14:textId="77777777" w:rsidR="00CC477F" w:rsidRPr="00EE5852" w:rsidRDefault="00CC477F" w:rsidP="007D643C">
            <w:pPr>
              <w:rPr>
                <w:rFonts w:ascii="Times New Roman" w:hAnsi="Times New Roman" w:cs="Times New Roman"/>
                <w:b/>
              </w:rPr>
            </w:pPr>
            <w:r w:rsidRPr="00EE5852">
              <w:rPr>
                <w:rFonts w:ascii="Times New Roman" w:hAnsi="Times New Roman" w:cs="Times New Roman"/>
                <w:b/>
              </w:rPr>
              <w:t>Shock Year</w:t>
            </w:r>
          </w:p>
        </w:tc>
        <w:tc>
          <w:tcPr>
            <w:tcW w:w="429" w:type="pct"/>
            <w:tcBorders>
              <w:top w:val="single" w:sz="4" w:space="0" w:color="auto"/>
              <w:bottom w:val="single" w:sz="8" w:space="0" w:color="auto"/>
            </w:tcBorders>
            <w:vAlign w:val="center"/>
          </w:tcPr>
          <w:p w14:paraId="2F067A7E" w14:textId="77777777" w:rsidR="00CC477F" w:rsidRPr="00EE5852" w:rsidRDefault="00CC477F" w:rsidP="007D643C">
            <w:pPr>
              <w:rPr>
                <w:rFonts w:ascii="Times New Roman" w:hAnsi="Times New Roman" w:cs="Times New Roman"/>
                <w:b/>
              </w:rPr>
            </w:pPr>
          </w:p>
        </w:tc>
        <w:tc>
          <w:tcPr>
            <w:tcW w:w="2798" w:type="pct"/>
            <w:tcBorders>
              <w:top w:val="single" w:sz="4" w:space="0" w:color="auto"/>
              <w:bottom w:val="single" w:sz="8" w:space="0" w:color="auto"/>
            </w:tcBorders>
            <w:vAlign w:val="center"/>
          </w:tcPr>
          <w:p w14:paraId="2695FC88" w14:textId="77777777" w:rsidR="00CC477F" w:rsidRPr="00EE5852" w:rsidRDefault="00CC477F" w:rsidP="007D643C">
            <w:pPr>
              <w:rPr>
                <w:rFonts w:ascii="Times New Roman" w:hAnsi="Times New Roman" w:cs="Times New Roman"/>
                <w:b/>
              </w:rPr>
            </w:pPr>
            <w:r w:rsidRPr="00EE5852">
              <w:rPr>
                <w:rFonts w:ascii="Times New Roman" w:hAnsi="Times New Roman" w:cs="Times New Roman"/>
                <w:b/>
              </w:rPr>
              <w:t>Event Notes</w:t>
            </w:r>
          </w:p>
        </w:tc>
      </w:tr>
      <w:tr w:rsidR="00CC477F" w:rsidRPr="00EE5852" w14:paraId="5A4325DB" w14:textId="77777777" w:rsidTr="007D643C">
        <w:trPr>
          <w:trHeight w:val="288"/>
        </w:trPr>
        <w:tc>
          <w:tcPr>
            <w:tcW w:w="409" w:type="pct"/>
            <w:tcBorders>
              <w:top w:val="single" w:sz="4" w:space="0" w:color="auto"/>
              <w:bottom w:val="single" w:sz="4" w:space="0" w:color="auto"/>
            </w:tcBorders>
            <w:shd w:val="clear" w:color="auto" w:fill="auto"/>
            <w:vAlign w:val="center"/>
          </w:tcPr>
          <w:p w14:paraId="6C1ED712"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762DB96F"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United States of America</w:t>
            </w:r>
          </w:p>
        </w:tc>
        <w:tc>
          <w:tcPr>
            <w:tcW w:w="459" w:type="pct"/>
            <w:tcBorders>
              <w:top w:val="single" w:sz="4" w:space="0" w:color="auto"/>
              <w:bottom w:val="single" w:sz="4" w:space="0" w:color="auto"/>
            </w:tcBorders>
            <w:shd w:val="clear" w:color="auto" w:fill="auto"/>
            <w:vAlign w:val="center"/>
            <w:hideMark/>
          </w:tcPr>
          <w:p w14:paraId="532FC6BE"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1974</w:t>
            </w:r>
          </w:p>
        </w:tc>
        <w:tc>
          <w:tcPr>
            <w:tcW w:w="429" w:type="pct"/>
            <w:tcBorders>
              <w:top w:val="single" w:sz="4" w:space="0" w:color="auto"/>
              <w:left w:val="nil"/>
              <w:bottom w:val="single" w:sz="4" w:space="0" w:color="auto"/>
              <w:right w:val="nil"/>
            </w:tcBorders>
            <w:shd w:val="clear" w:color="auto" w:fill="auto"/>
            <w:vAlign w:val="center"/>
          </w:tcPr>
          <w:p w14:paraId="6AE844C2"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6BA2A93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Resignation of President Richard Nixon; financial recession; unemployment rate increase</w:t>
            </w:r>
          </w:p>
        </w:tc>
      </w:tr>
      <w:tr w:rsidR="00CC477F" w:rsidRPr="00EE5852" w14:paraId="2219781E" w14:textId="77777777" w:rsidTr="007D643C">
        <w:trPr>
          <w:trHeight w:val="288"/>
        </w:trPr>
        <w:tc>
          <w:tcPr>
            <w:tcW w:w="409" w:type="pct"/>
            <w:tcBorders>
              <w:top w:val="single" w:sz="4" w:space="0" w:color="auto"/>
              <w:bottom w:val="single" w:sz="4" w:space="0" w:color="auto"/>
            </w:tcBorders>
            <w:shd w:val="clear" w:color="auto" w:fill="auto"/>
            <w:vAlign w:val="center"/>
          </w:tcPr>
          <w:p w14:paraId="5D103246"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5165A0F6"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United States of America</w:t>
            </w:r>
          </w:p>
        </w:tc>
        <w:tc>
          <w:tcPr>
            <w:tcW w:w="459" w:type="pct"/>
            <w:tcBorders>
              <w:top w:val="single" w:sz="4" w:space="0" w:color="auto"/>
              <w:bottom w:val="single" w:sz="4" w:space="0" w:color="auto"/>
            </w:tcBorders>
            <w:shd w:val="clear" w:color="auto" w:fill="auto"/>
            <w:vAlign w:val="center"/>
            <w:hideMark/>
          </w:tcPr>
          <w:p w14:paraId="42DCEF09"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1976</w:t>
            </w:r>
          </w:p>
        </w:tc>
        <w:tc>
          <w:tcPr>
            <w:tcW w:w="429" w:type="pct"/>
            <w:tcBorders>
              <w:top w:val="single" w:sz="4" w:space="0" w:color="auto"/>
              <w:left w:val="nil"/>
              <w:bottom w:val="single" w:sz="4" w:space="0" w:color="auto"/>
              <w:right w:val="nil"/>
            </w:tcBorders>
            <w:shd w:val="clear" w:color="auto" w:fill="auto"/>
            <w:vAlign w:val="center"/>
          </w:tcPr>
          <w:p w14:paraId="30CAF4CD"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751E2FB7" w14:textId="77777777" w:rsidR="00CC477F" w:rsidRPr="00EE5852" w:rsidRDefault="00CC477F" w:rsidP="007D643C">
            <w:pPr>
              <w:rPr>
                <w:rFonts w:ascii="Times New Roman" w:hAnsi="Times New Roman" w:cs="Times New Roman"/>
                <w:sz w:val="20"/>
                <w:szCs w:val="20"/>
              </w:rPr>
            </w:pPr>
            <w:r>
              <w:rPr>
                <w:rFonts w:ascii="Times New Roman" w:hAnsi="Times New Roman" w:cs="Times New Roman"/>
                <w:color w:val="000000"/>
                <w:sz w:val="20"/>
                <w:szCs w:val="20"/>
              </w:rPr>
              <w:t xml:space="preserve">Withdrawal from </w:t>
            </w:r>
            <w:r w:rsidRPr="00EE5852">
              <w:rPr>
                <w:rFonts w:ascii="Times New Roman" w:hAnsi="Times New Roman" w:cs="Times New Roman"/>
                <w:color w:val="000000"/>
                <w:sz w:val="20"/>
                <w:szCs w:val="20"/>
              </w:rPr>
              <w:t>Vietnam War in 1975; end of financial crisis from 1975</w:t>
            </w:r>
          </w:p>
        </w:tc>
      </w:tr>
      <w:tr w:rsidR="00CC477F" w:rsidRPr="00EE5852" w14:paraId="0396668D" w14:textId="77777777" w:rsidTr="007D643C">
        <w:trPr>
          <w:trHeight w:val="288"/>
        </w:trPr>
        <w:tc>
          <w:tcPr>
            <w:tcW w:w="409" w:type="pct"/>
            <w:tcBorders>
              <w:top w:val="single" w:sz="4" w:space="0" w:color="auto"/>
              <w:bottom w:val="single" w:sz="4" w:space="0" w:color="auto"/>
            </w:tcBorders>
            <w:shd w:val="clear" w:color="auto" w:fill="auto"/>
            <w:vAlign w:val="center"/>
          </w:tcPr>
          <w:p w14:paraId="4621DB75"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tcPr>
          <w:p w14:paraId="1BECF910"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Canada</w:t>
            </w:r>
          </w:p>
        </w:tc>
        <w:tc>
          <w:tcPr>
            <w:tcW w:w="459" w:type="pct"/>
            <w:tcBorders>
              <w:top w:val="single" w:sz="4" w:space="0" w:color="auto"/>
              <w:bottom w:val="single" w:sz="4" w:space="0" w:color="auto"/>
            </w:tcBorders>
            <w:shd w:val="clear" w:color="auto" w:fill="auto"/>
            <w:vAlign w:val="center"/>
          </w:tcPr>
          <w:p w14:paraId="6D1BA151"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1997</w:t>
            </w:r>
          </w:p>
        </w:tc>
        <w:tc>
          <w:tcPr>
            <w:tcW w:w="429" w:type="pct"/>
            <w:tcBorders>
              <w:top w:val="single" w:sz="4" w:space="0" w:color="auto"/>
              <w:left w:val="nil"/>
              <w:bottom w:val="single" w:sz="4" w:space="0" w:color="auto"/>
              <w:right w:val="nil"/>
            </w:tcBorders>
            <w:shd w:val="clear" w:color="auto" w:fill="auto"/>
            <w:vAlign w:val="center"/>
          </w:tcPr>
          <w:p w14:paraId="58089DB4"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5D96F734"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Red River flood (Manitoba; 1 of 2 worst natural disasters (floods) in Canada's history)</w:t>
            </w:r>
          </w:p>
        </w:tc>
      </w:tr>
      <w:tr w:rsidR="00CC477F" w:rsidRPr="00EE5852" w14:paraId="22180975" w14:textId="77777777" w:rsidTr="007D643C">
        <w:trPr>
          <w:trHeight w:val="288"/>
        </w:trPr>
        <w:tc>
          <w:tcPr>
            <w:tcW w:w="409" w:type="pct"/>
            <w:tcBorders>
              <w:top w:val="single" w:sz="4" w:space="0" w:color="auto"/>
              <w:bottom w:val="single" w:sz="4" w:space="0" w:color="auto"/>
            </w:tcBorders>
            <w:shd w:val="clear" w:color="auto" w:fill="auto"/>
            <w:vAlign w:val="center"/>
          </w:tcPr>
          <w:p w14:paraId="3BE8EED6"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tcPr>
          <w:p w14:paraId="721F69BF"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Haiti</w:t>
            </w:r>
          </w:p>
        </w:tc>
        <w:tc>
          <w:tcPr>
            <w:tcW w:w="459" w:type="pct"/>
            <w:tcBorders>
              <w:top w:val="single" w:sz="4" w:space="0" w:color="auto"/>
              <w:bottom w:val="single" w:sz="4" w:space="0" w:color="auto"/>
            </w:tcBorders>
            <w:shd w:val="clear" w:color="auto" w:fill="auto"/>
            <w:vAlign w:val="center"/>
          </w:tcPr>
          <w:p w14:paraId="3A28B4B4"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2010</w:t>
            </w:r>
          </w:p>
        </w:tc>
        <w:tc>
          <w:tcPr>
            <w:tcW w:w="429" w:type="pct"/>
            <w:tcBorders>
              <w:top w:val="single" w:sz="4" w:space="0" w:color="auto"/>
              <w:left w:val="nil"/>
              <w:bottom w:val="single" w:sz="4" w:space="0" w:color="auto"/>
              <w:right w:val="nil"/>
            </w:tcBorders>
            <w:shd w:val="clear" w:color="auto" w:fill="auto"/>
            <w:vAlign w:val="center"/>
          </w:tcPr>
          <w:p w14:paraId="46A94205"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6656917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Natural disaster - earthquake (January 2010); collapse of central governance; limited general elections in November 2010 </w:t>
            </w:r>
          </w:p>
        </w:tc>
      </w:tr>
      <w:tr w:rsidR="00CC477F" w:rsidRPr="00EE5852" w14:paraId="31D48B6B" w14:textId="77777777" w:rsidTr="007D643C">
        <w:trPr>
          <w:trHeight w:val="288"/>
        </w:trPr>
        <w:tc>
          <w:tcPr>
            <w:tcW w:w="409" w:type="pct"/>
            <w:tcBorders>
              <w:top w:val="single" w:sz="4" w:space="0" w:color="auto"/>
              <w:bottom w:val="single" w:sz="4" w:space="0" w:color="auto"/>
            </w:tcBorders>
            <w:shd w:val="clear" w:color="auto" w:fill="auto"/>
            <w:vAlign w:val="center"/>
          </w:tcPr>
          <w:p w14:paraId="0F2F84F4"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2D0C4801"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Dominican Republic</w:t>
            </w:r>
          </w:p>
        </w:tc>
        <w:tc>
          <w:tcPr>
            <w:tcW w:w="459" w:type="pct"/>
            <w:tcBorders>
              <w:top w:val="single" w:sz="4" w:space="0" w:color="auto"/>
              <w:bottom w:val="single" w:sz="4" w:space="0" w:color="auto"/>
            </w:tcBorders>
            <w:shd w:val="clear" w:color="auto" w:fill="auto"/>
            <w:vAlign w:val="center"/>
            <w:hideMark/>
          </w:tcPr>
          <w:p w14:paraId="4B330D27"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1965</w:t>
            </w:r>
          </w:p>
        </w:tc>
        <w:tc>
          <w:tcPr>
            <w:tcW w:w="429" w:type="pct"/>
            <w:tcBorders>
              <w:top w:val="single" w:sz="4" w:space="0" w:color="auto"/>
              <w:left w:val="nil"/>
              <w:bottom w:val="single" w:sz="4" w:space="0" w:color="auto"/>
              <w:right w:val="nil"/>
            </w:tcBorders>
            <w:shd w:val="clear" w:color="auto" w:fill="auto"/>
            <w:vAlign w:val="center"/>
          </w:tcPr>
          <w:p w14:paraId="008C7341"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272E2F2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Dominican Civil War (started April 1965)</w:t>
            </w:r>
          </w:p>
        </w:tc>
      </w:tr>
      <w:tr w:rsidR="00CC477F" w:rsidRPr="00EE5852" w14:paraId="31C77856" w14:textId="77777777" w:rsidTr="007D643C">
        <w:trPr>
          <w:trHeight w:val="288"/>
        </w:trPr>
        <w:tc>
          <w:tcPr>
            <w:tcW w:w="409" w:type="pct"/>
            <w:tcBorders>
              <w:top w:val="single" w:sz="4" w:space="0" w:color="auto"/>
              <w:bottom w:val="single" w:sz="4" w:space="0" w:color="auto"/>
            </w:tcBorders>
            <w:shd w:val="clear" w:color="auto" w:fill="auto"/>
            <w:vAlign w:val="center"/>
          </w:tcPr>
          <w:p w14:paraId="41F56472"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tcPr>
          <w:p w14:paraId="7E1B4011"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Mexico</w:t>
            </w:r>
          </w:p>
        </w:tc>
        <w:tc>
          <w:tcPr>
            <w:tcW w:w="459" w:type="pct"/>
            <w:tcBorders>
              <w:top w:val="single" w:sz="4" w:space="0" w:color="auto"/>
              <w:bottom w:val="single" w:sz="4" w:space="0" w:color="auto"/>
            </w:tcBorders>
            <w:shd w:val="clear" w:color="auto" w:fill="auto"/>
            <w:vAlign w:val="center"/>
          </w:tcPr>
          <w:p w14:paraId="7675BBD1"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1995</w:t>
            </w:r>
          </w:p>
        </w:tc>
        <w:tc>
          <w:tcPr>
            <w:tcW w:w="429" w:type="pct"/>
            <w:tcBorders>
              <w:top w:val="single" w:sz="4" w:space="0" w:color="auto"/>
              <w:left w:val="nil"/>
              <w:bottom w:val="single" w:sz="4" w:space="0" w:color="auto"/>
              <w:right w:val="nil"/>
            </w:tcBorders>
            <w:shd w:val="clear" w:color="auto" w:fill="auto"/>
            <w:vAlign w:val="center"/>
          </w:tcPr>
          <w:p w14:paraId="1DB333A5"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7ED0F803"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1994 - Mexican Peso Crisis; Tequila Shock/Crisis; sudden devaluation of the Mexican peso causing currency crisis; </w:t>
            </w:r>
          </w:p>
        </w:tc>
      </w:tr>
      <w:tr w:rsidR="00CC477F" w:rsidRPr="00EE5852" w14:paraId="38BE314E" w14:textId="77777777" w:rsidTr="007D643C">
        <w:trPr>
          <w:trHeight w:val="288"/>
        </w:trPr>
        <w:tc>
          <w:tcPr>
            <w:tcW w:w="409" w:type="pct"/>
            <w:tcBorders>
              <w:top w:val="single" w:sz="4" w:space="0" w:color="auto"/>
              <w:bottom w:val="single" w:sz="4" w:space="0" w:color="auto"/>
            </w:tcBorders>
            <w:shd w:val="clear" w:color="auto" w:fill="auto"/>
            <w:vAlign w:val="center"/>
          </w:tcPr>
          <w:p w14:paraId="4C604EC9"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tcPr>
          <w:p w14:paraId="25BB632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Guatemala</w:t>
            </w:r>
          </w:p>
        </w:tc>
        <w:tc>
          <w:tcPr>
            <w:tcW w:w="459" w:type="pct"/>
            <w:tcBorders>
              <w:top w:val="single" w:sz="4" w:space="0" w:color="auto"/>
              <w:bottom w:val="single" w:sz="4" w:space="0" w:color="auto"/>
            </w:tcBorders>
            <w:shd w:val="clear" w:color="auto" w:fill="auto"/>
            <w:vAlign w:val="center"/>
          </w:tcPr>
          <w:p w14:paraId="20D81C8C"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1963</w:t>
            </w:r>
          </w:p>
        </w:tc>
        <w:tc>
          <w:tcPr>
            <w:tcW w:w="429" w:type="pct"/>
            <w:tcBorders>
              <w:top w:val="single" w:sz="4" w:space="0" w:color="auto"/>
              <w:left w:val="nil"/>
              <w:bottom w:val="single" w:sz="4" w:space="0" w:color="auto"/>
              <w:right w:val="nil"/>
            </w:tcBorders>
            <w:shd w:val="clear" w:color="auto" w:fill="auto"/>
            <w:vAlign w:val="center"/>
          </w:tcPr>
          <w:p w14:paraId="1DCBFBFB"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358E8CD9"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CIA instigated and supported coup overthrowing President Miguel Ydigoras Fuentes; </w:t>
            </w:r>
          </w:p>
        </w:tc>
      </w:tr>
      <w:tr w:rsidR="00CC477F" w:rsidRPr="00EE5852" w14:paraId="384CAFBC" w14:textId="77777777" w:rsidTr="007D643C">
        <w:trPr>
          <w:trHeight w:val="288"/>
        </w:trPr>
        <w:tc>
          <w:tcPr>
            <w:tcW w:w="409" w:type="pct"/>
            <w:tcBorders>
              <w:top w:val="single" w:sz="4" w:space="0" w:color="auto"/>
            </w:tcBorders>
            <w:shd w:val="clear" w:color="auto" w:fill="auto"/>
            <w:vAlign w:val="center"/>
          </w:tcPr>
          <w:p w14:paraId="73765A52"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tcBorders>
            <w:shd w:val="clear" w:color="auto" w:fill="auto"/>
            <w:vAlign w:val="center"/>
            <w:hideMark/>
          </w:tcPr>
          <w:p w14:paraId="1E73E597"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Guatemala</w:t>
            </w:r>
          </w:p>
        </w:tc>
        <w:tc>
          <w:tcPr>
            <w:tcW w:w="459" w:type="pct"/>
            <w:tcBorders>
              <w:top w:val="single" w:sz="4" w:space="0" w:color="auto"/>
            </w:tcBorders>
            <w:shd w:val="clear" w:color="auto" w:fill="auto"/>
            <w:vAlign w:val="center"/>
            <w:hideMark/>
          </w:tcPr>
          <w:p w14:paraId="5F3B979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1981</w:t>
            </w:r>
          </w:p>
        </w:tc>
        <w:tc>
          <w:tcPr>
            <w:tcW w:w="429" w:type="pct"/>
            <w:tcBorders>
              <w:top w:val="single" w:sz="4" w:space="0" w:color="auto"/>
              <w:left w:val="nil"/>
              <w:right w:val="nil"/>
            </w:tcBorders>
            <w:shd w:val="clear" w:color="auto" w:fill="auto"/>
            <w:vAlign w:val="center"/>
          </w:tcPr>
          <w:p w14:paraId="0C344000"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tcBorders>
            <w:shd w:val="clear" w:color="auto" w:fill="auto"/>
            <w:vAlign w:val="center"/>
          </w:tcPr>
          <w:p w14:paraId="4B87EAEF"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Guatemalan Civil War; largest insurgency mounted/largest offensive for the conflict in 1981; 1981 genocide; </w:t>
            </w:r>
          </w:p>
        </w:tc>
      </w:tr>
      <w:tr w:rsidR="00CC477F" w:rsidRPr="00EE5852" w14:paraId="4F1DD57A" w14:textId="77777777" w:rsidTr="007D643C">
        <w:trPr>
          <w:trHeight w:val="288"/>
        </w:trPr>
        <w:tc>
          <w:tcPr>
            <w:tcW w:w="409" w:type="pct"/>
            <w:tcBorders>
              <w:top w:val="single" w:sz="4" w:space="0" w:color="auto"/>
              <w:bottom w:val="single" w:sz="4" w:space="0" w:color="auto"/>
            </w:tcBorders>
            <w:shd w:val="clear" w:color="auto" w:fill="auto"/>
            <w:vAlign w:val="center"/>
          </w:tcPr>
          <w:p w14:paraId="70FEA220"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739E95D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Honduras</w:t>
            </w:r>
          </w:p>
        </w:tc>
        <w:tc>
          <w:tcPr>
            <w:tcW w:w="459" w:type="pct"/>
            <w:tcBorders>
              <w:top w:val="single" w:sz="4" w:space="0" w:color="auto"/>
              <w:bottom w:val="single" w:sz="4" w:space="0" w:color="auto"/>
            </w:tcBorders>
            <w:shd w:val="clear" w:color="auto" w:fill="auto"/>
            <w:vAlign w:val="center"/>
            <w:hideMark/>
          </w:tcPr>
          <w:p w14:paraId="25E84363"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1969</w:t>
            </w:r>
          </w:p>
        </w:tc>
        <w:tc>
          <w:tcPr>
            <w:tcW w:w="429" w:type="pct"/>
            <w:tcBorders>
              <w:top w:val="single" w:sz="4" w:space="0" w:color="auto"/>
              <w:left w:val="nil"/>
              <w:bottom w:val="single" w:sz="4" w:space="0" w:color="auto"/>
              <w:right w:val="nil"/>
            </w:tcBorders>
            <w:shd w:val="clear" w:color="auto" w:fill="auto"/>
            <w:vAlign w:val="center"/>
          </w:tcPr>
          <w:p w14:paraId="5A6DE96E"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45A11134"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Football War - El Salvador severed diplomatic ties with Honduras, border skirmishes took place; El Salvador forces invade Honduras, warplanes bombed country </w:t>
            </w:r>
          </w:p>
        </w:tc>
      </w:tr>
      <w:tr w:rsidR="00CC477F" w:rsidRPr="00EE5852" w14:paraId="245BDB1A" w14:textId="77777777" w:rsidTr="007D643C">
        <w:trPr>
          <w:trHeight w:val="288"/>
        </w:trPr>
        <w:tc>
          <w:tcPr>
            <w:tcW w:w="409" w:type="pct"/>
            <w:tcBorders>
              <w:top w:val="single" w:sz="4" w:space="0" w:color="auto"/>
              <w:bottom w:val="single" w:sz="4" w:space="0" w:color="auto"/>
            </w:tcBorders>
            <w:shd w:val="clear" w:color="auto" w:fill="auto"/>
            <w:vAlign w:val="center"/>
          </w:tcPr>
          <w:p w14:paraId="46937E24"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235AF63C"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El Salvador</w:t>
            </w:r>
          </w:p>
        </w:tc>
        <w:tc>
          <w:tcPr>
            <w:tcW w:w="459" w:type="pct"/>
            <w:tcBorders>
              <w:top w:val="single" w:sz="4" w:space="0" w:color="auto"/>
              <w:bottom w:val="single" w:sz="4" w:space="0" w:color="auto"/>
            </w:tcBorders>
            <w:shd w:val="clear" w:color="auto" w:fill="auto"/>
            <w:vAlign w:val="center"/>
            <w:hideMark/>
          </w:tcPr>
          <w:p w14:paraId="73A51663"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1979</w:t>
            </w:r>
          </w:p>
        </w:tc>
        <w:tc>
          <w:tcPr>
            <w:tcW w:w="429" w:type="pct"/>
            <w:tcBorders>
              <w:top w:val="single" w:sz="4" w:space="0" w:color="auto"/>
              <w:left w:val="nil"/>
              <w:bottom w:val="single" w:sz="4" w:space="0" w:color="auto"/>
              <w:right w:val="nil"/>
            </w:tcBorders>
            <w:shd w:val="clear" w:color="auto" w:fill="auto"/>
            <w:vAlign w:val="center"/>
          </w:tcPr>
          <w:p w14:paraId="1F58D5D1"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2E0F8486"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Salvadoran coup overthrowing President Carlos Humberto Romero; beginning of Salvadoran Civil War</w:t>
            </w:r>
          </w:p>
        </w:tc>
      </w:tr>
      <w:tr w:rsidR="00CC477F" w:rsidRPr="00EE5852" w14:paraId="79894816" w14:textId="77777777" w:rsidTr="007D643C">
        <w:trPr>
          <w:trHeight w:val="288"/>
        </w:trPr>
        <w:tc>
          <w:tcPr>
            <w:tcW w:w="409" w:type="pct"/>
            <w:tcBorders>
              <w:top w:val="single" w:sz="4" w:space="0" w:color="auto"/>
              <w:bottom w:val="single" w:sz="4" w:space="0" w:color="auto"/>
            </w:tcBorders>
            <w:shd w:val="clear" w:color="auto" w:fill="auto"/>
            <w:vAlign w:val="center"/>
          </w:tcPr>
          <w:p w14:paraId="72F146CA"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2D35A520"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El Salvador</w:t>
            </w:r>
          </w:p>
        </w:tc>
        <w:tc>
          <w:tcPr>
            <w:tcW w:w="459" w:type="pct"/>
            <w:tcBorders>
              <w:top w:val="single" w:sz="4" w:space="0" w:color="auto"/>
              <w:bottom w:val="single" w:sz="4" w:space="0" w:color="auto"/>
            </w:tcBorders>
            <w:shd w:val="clear" w:color="auto" w:fill="auto"/>
            <w:vAlign w:val="center"/>
            <w:hideMark/>
          </w:tcPr>
          <w:p w14:paraId="7E0C8C45"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1982</w:t>
            </w:r>
          </w:p>
        </w:tc>
        <w:tc>
          <w:tcPr>
            <w:tcW w:w="429" w:type="pct"/>
            <w:tcBorders>
              <w:top w:val="single" w:sz="4" w:space="0" w:color="auto"/>
              <w:left w:val="nil"/>
              <w:bottom w:val="single" w:sz="4" w:space="0" w:color="auto"/>
              <w:right w:val="nil"/>
            </w:tcBorders>
            <w:shd w:val="clear" w:color="auto" w:fill="auto"/>
            <w:vAlign w:val="center"/>
          </w:tcPr>
          <w:p w14:paraId="426E367E"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192D4A54"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1982 saw the installation of an interim government; heightened killing by government forces; </w:t>
            </w:r>
          </w:p>
        </w:tc>
      </w:tr>
      <w:tr w:rsidR="00CC477F" w:rsidRPr="00EE5852" w14:paraId="12F3057E" w14:textId="77777777" w:rsidTr="007D643C">
        <w:trPr>
          <w:trHeight w:val="288"/>
        </w:trPr>
        <w:tc>
          <w:tcPr>
            <w:tcW w:w="409" w:type="pct"/>
            <w:tcBorders>
              <w:top w:val="single" w:sz="4" w:space="0" w:color="auto"/>
              <w:bottom w:val="single" w:sz="4" w:space="0" w:color="auto"/>
            </w:tcBorders>
            <w:shd w:val="clear" w:color="auto" w:fill="auto"/>
            <w:vAlign w:val="center"/>
          </w:tcPr>
          <w:p w14:paraId="229F7073"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59A9BA60"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Colombia</w:t>
            </w:r>
          </w:p>
        </w:tc>
        <w:tc>
          <w:tcPr>
            <w:tcW w:w="459" w:type="pct"/>
            <w:tcBorders>
              <w:top w:val="single" w:sz="4" w:space="0" w:color="auto"/>
              <w:bottom w:val="single" w:sz="4" w:space="0" w:color="auto"/>
            </w:tcBorders>
            <w:shd w:val="clear" w:color="auto" w:fill="auto"/>
            <w:vAlign w:val="center"/>
            <w:hideMark/>
          </w:tcPr>
          <w:p w14:paraId="5F5FE378"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1975</w:t>
            </w:r>
          </w:p>
        </w:tc>
        <w:tc>
          <w:tcPr>
            <w:tcW w:w="429" w:type="pct"/>
            <w:tcBorders>
              <w:top w:val="single" w:sz="4" w:space="0" w:color="auto"/>
              <w:left w:val="nil"/>
              <w:bottom w:val="single" w:sz="4" w:space="0" w:color="auto"/>
              <w:right w:val="nil"/>
            </w:tcBorders>
            <w:shd w:val="clear" w:color="auto" w:fill="auto"/>
            <w:vAlign w:val="center"/>
          </w:tcPr>
          <w:p w14:paraId="7CA65053"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13648946"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1974 - challenge to state authority via April Movement (M-19) starting new phase of conflict; end of National Front governments </w:t>
            </w:r>
          </w:p>
        </w:tc>
      </w:tr>
      <w:tr w:rsidR="00CC477F" w:rsidRPr="00EE5852" w14:paraId="0FBDAC08" w14:textId="77777777" w:rsidTr="007D643C">
        <w:trPr>
          <w:trHeight w:val="288"/>
        </w:trPr>
        <w:tc>
          <w:tcPr>
            <w:tcW w:w="409" w:type="pct"/>
            <w:tcBorders>
              <w:top w:val="single" w:sz="4" w:space="0" w:color="auto"/>
              <w:bottom w:val="single" w:sz="4" w:space="0" w:color="auto"/>
            </w:tcBorders>
            <w:shd w:val="clear" w:color="auto" w:fill="auto"/>
            <w:vAlign w:val="center"/>
          </w:tcPr>
          <w:p w14:paraId="10267C0E"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2F71F14A"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Ecuador</w:t>
            </w:r>
          </w:p>
        </w:tc>
        <w:tc>
          <w:tcPr>
            <w:tcW w:w="459" w:type="pct"/>
            <w:tcBorders>
              <w:top w:val="single" w:sz="4" w:space="0" w:color="auto"/>
              <w:bottom w:val="single" w:sz="4" w:space="0" w:color="auto"/>
            </w:tcBorders>
            <w:shd w:val="clear" w:color="auto" w:fill="auto"/>
            <w:vAlign w:val="center"/>
            <w:hideMark/>
          </w:tcPr>
          <w:p w14:paraId="4142734F"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1973</w:t>
            </w:r>
          </w:p>
        </w:tc>
        <w:tc>
          <w:tcPr>
            <w:tcW w:w="429" w:type="pct"/>
            <w:tcBorders>
              <w:top w:val="single" w:sz="4" w:space="0" w:color="auto"/>
              <w:left w:val="nil"/>
              <w:bottom w:val="single" w:sz="4" w:space="0" w:color="auto"/>
              <w:right w:val="nil"/>
            </w:tcBorders>
            <w:shd w:val="clear" w:color="auto" w:fill="auto"/>
            <w:vAlign w:val="center"/>
          </w:tcPr>
          <w:p w14:paraId="2D4E65DB"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33A65954" w14:textId="7B0C7BE6"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President Velasco suspends constitution, dissolves legislature, assumes dictatorial powers</w:t>
            </w:r>
            <w:r>
              <w:rPr>
                <w:rFonts w:ascii="Times New Roman" w:hAnsi="Times New Roman" w:cs="Times New Roman"/>
                <w:sz w:val="20"/>
                <w:szCs w:val="20"/>
              </w:rPr>
              <w:t>.</w:t>
            </w:r>
            <w:r w:rsidR="00F11804">
              <w:rPr>
                <w:rFonts w:ascii="Times New Roman" w:hAnsi="Times New Roman" w:cs="Times New Roman"/>
                <w:sz w:val="20"/>
                <w:szCs w:val="20"/>
              </w:rPr>
              <w:t xml:space="preserve"> </w:t>
            </w:r>
            <w:r w:rsidRPr="00EE5852">
              <w:rPr>
                <w:rFonts w:ascii="Times New Roman" w:hAnsi="Times New Roman" w:cs="Times New Roman"/>
                <w:sz w:val="20"/>
                <w:szCs w:val="20"/>
              </w:rPr>
              <w:t>Military deposes Velasco's authoritarian-democratic regime (total polity change of -10)</w:t>
            </w:r>
          </w:p>
        </w:tc>
      </w:tr>
      <w:tr w:rsidR="00CC477F" w:rsidRPr="00EE5852" w14:paraId="73E899F1" w14:textId="77777777" w:rsidTr="007D643C">
        <w:trPr>
          <w:trHeight w:val="288"/>
        </w:trPr>
        <w:tc>
          <w:tcPr>
            <w:tcW w:w="409" w:type="pct"/>
            <w:tcBorders>
              <w:top w:val="single" w:sz="4" w:space="0" w:color="auto"/>
              <w:bottom w:val="single" w:sz="4" w:space="0" w:color="auto"/>
            </w:tcBorders>
            <w:shd w:val="clear" w:color="auto" w:fill="auto"/>
            <w:vAlign w:val="center"/>
          </w:tcPr>
          <w:p w14:paraId="7A7D7170"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3975E148"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Chile</w:t>
            </w:r>
          </w:p>
        </w:tc>
        <w:tc>
          <w:tcPr>
            <w:tcW w:w="459" w:type="pct"/>
            <w:tcBorders>
              <w:top w:val="single" w:sz="4" w:space="0" w:color="auto"/>
              <w:bottom w:val="single" w:sz="4" w:space="0" w:color="auto"/>
            </w:tcBorders>
            <w:shd w:val="clear" w:color="auto" w:fill="auto"/>
            <w:vAlign w:val="center"/>
            <w:hideMark/>
          </w:tcPr>
          <w:p w14:paraId="7A5049EA"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1974</w:t>
            </w:r>
          </w:p>
        </w:tc>
        <w:tc>
          <w:tcPr>
            <w:tcW w:w="429" w:type="pct"/>
            <w:tcBorders>
              <w:top w:val="single" w:sz="4" w:space="0" w:color="auto"/>
              <w:left w:val="nil"/>
              <w:bottom w:val="single" w:sz="4" w:space="0" w:color="auto"/>
              <w:right w:val="nil"/>
            </w:tcBorders>
            <w:shd w:val="clear" w:color="auto" w:fill="auto"/>
            <w:vAlign w:val="center"/>
          </w:tcPr>
          <w:p w14:paraId="75309023"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631691EA"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September 1973 - Chilean coup deposing President Salvador Allende by General Augusto Pinochet; ongoing social unrest; </w:t>
            </w:r>
          </w:p>
        </w:tc>
      </w:tr>
      <w:tr w:rsidR="00CC477F" w:rsidRPr="00EE5852" w14:paraId="4C2DEB00" w14:textId="77777777" w:rsidTr="007D643C">
        <w:trPr>
          <w:trHeight w:val="288"/>
        </w:trPr>
        <w:tc>
          <w:tcPr>
            <w:tcW w:w="409" w:type="pct"/>
            <w:tcBorders>
              <w:top w:val="single" w:sz="4" w:space="0" w:color="auto"/>
              <w:bottom w:val="single" w:sz="4" w:space="0" w:color="auto"/>
            </w:tcBorders>
            <w:shd w:val="clear" w:color="auto" w:fill="auto"/>
            <w:vAlign w:val="center"/>
          </w:tcPr>
          <w:p w14:paraId="3D66ADE2"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27299058"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Argentina</w:t>
            </w:r>
          </w:p>
        </w:tc>
        <w:tc>
          <w:tcPr>
            <w:tcW w:w="459" w:type="pct"/>
            <w:tcBorders>
              <w:top w:val="single" w:sz="4" w:space="0" w:color="auto"/>
              <w:bottom w:val="single" w:sz="4" w:space="0" w:color="auto"/>
            </w:tcBorders>
            <w:shd w:val="clear" w:color="auto" w:fill="auto"/>
            <w:vAlign w:val="center"/>
            <w:hideMark/>
          </w:tcPr>
          <w:p w14:paraId="00934043"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1995</w:t>
            </w:r>
          </w:p>
        </w:tc>
        <w:tc>
          <w:tcPr>
            <w:tcW w:w="429" w:type="pct"/>
            <w:tcBorders>
              <w:top w:val="single" w:sz="4" w:space="0" w:color="auto"/>
              <w:left w:val="nil"/>
              <w:bottom w:val="single" w:sz="4" w:space="0" w:color="auto"/>
              <w:right w:val="nil"/>
            </w:tcBorders>
            <w:shd w:val="clear" w:color="auto" w:fill="auto"/>
            <w:vAlign w:val="center"/>
          </w:tcPr>
          <w:p w14:paraId="2C14F7F9"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3B79D6B0"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1994 - Mexican Peso Crisis; Tequila Shock/Crisis;</w:t>
            </w:r>
          </w:p>
        </w:tc>
      </w:tr>
      <w:tr w:rsidR="00CC477F" w:rsidRPr="00EE5852" w14:paraId="6EE611CB" w14:textId="77777777" w:rsidTr="007D643C">
        <w:trPr>
          <w:trHeight w:val="288"/>
        </w:trPr>
        <w:tc>
          <w:tcPr>
            <w:tcW w:w="409" w:type="pct"/>
            <w:tcBorders>
              <w:top w:val="single" w:sz="4" w:space="0" w:color="auto"/>
            </w:tcBorders>
            <w:shd w:val="clear" w:color="auto" w:fill="auto"/>
            <w:vAlign w:val="center"/>
          </w:tcPr>
          <w:p w14:paraId="189D450E"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tcBorders>
            <w:shd w:val="clear" w:color="auto" w:fill="auto"/>
            <w:vAlign w:val="center"/>
          </w:tcPr>
          <w:p w14:paraId="646EECB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Argentina</w:t>
            </w:r>
          </w:p>
        </w:tc>
        <w:tc>
          <w:tcPr>
            <w:tcW w:w="459" w:type="pct"/>
            <w:tcBorders>
              <w:top w:val="single" w:sz="4" w:space="0" w:color="auto"/>
            </w:tcBorders>
            <w:shd w:val="clear" w:color="auto" w:fill="auto"/>
            <w:vAlign w:val="center"/>
          </w:tcPr>
          <w:p w14:paraId="0E7B54D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1966</w:t>
            </w:r>
          </w:p>
        </w:tc>
        <w:tc>
          <w:tcPr>
            <w:tcW w:w="429" w:type="pct"/>
            <w:tcBorders>
              <w:top w:val="single" w:sz="4" w:space="0" w:color="auto"/>
              <w:left w:val="nil"/>
              <w:right w:val="nil"/>
            </w:tcBorders>
            <w:shd w:val="clear" w:color="auto" w:fill="auto"/>
            <w:vAlign w:val="center"/>
          </w:tcPr>
          <w:p w14:paraId="2C7360DA"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tcBorders>
            <w:shd w:val="clear" w:color="auto" w:fill="auto"/>
            <w:vAlign w:val="center"/>
          </w:tcPr>
          <w:p w14:paraId="6157585F"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Civilian government ousted by a military coup</w:t>
            </w:r>
          </w:p>
        </w:tc>
      </w:tr>
      <w:tr w:rsidR="00CC477F" w:rsidRPr="00EE5852" w14:paraId="36701624" w14:textId="77777777" w:rsidTr="007D643C">
        <w:trPr>
          <w:trHeight w:val="288"/>
        </w:trPr>
        <w:tc>
          <w:tcPr>
            <w:tcW w:w="409" w:type="pct"/>
            <w:tcBorders>
              <w:top w:val="single" w:sz="4" w:space="0" w:color="auto"/>
              <w:bottom w:val="single" w:sz="4" w:space="0" w:color="auto"/>
            </w:tcBorders>
            <w:shd w:val="clear" w:color="auto" w:fill="auto"/>
            <w:vAlign w:val="center"/>
          </w:tcPr>
          <w:p w14:paraId="0B459E6C"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08DB4A83"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United Kingdom</w:t>
            </w:r>
          </w:p>
        </w:tc>
        <w:tc>
          <w:tcPr>
            <w:tcW w:w="459" w:type="pct"/>
            <w:tcBorders>
              <w:top w:val="single" w:sz="4" w:space="0" w:color="auto"/>
              <w:bottom w:val="single" w:sz="4" w:space="0" w:color="auto"/>
            </w:tcBorders>
            <w:shd w:val="clear" w:color="auto" w:fill="auto"/>
            <w:vAlign w:val="center"/>
            <w:hideMark/>
          </w:tcPr>
          <w:p w14:paraId="5FC63CAF"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200</w:t>
            </w:r>
            <w:r>
              <w:rPr>
                <w:rFonts w:ascii="Times New Roman" w:hAnsi="Times New Roman" w:cs="Times New Roman"/>
                <w:sz w:val="20"/>
                <w:szCs w:val="20"/>
              </w:rPr>
              <w:t>9</w:t>
            </w:r>
          </w:p>
        </w:tc>
        <w:tc>
          <w:tcPr>
            <w:tcW w:w="429" w:type="pct"/>
            <w:tcBorders>
              <w:top w:val="single" w:sz="4" w:space="0" w:color="auto"/>
              <w:left w:val="nil"/>
              <w:bottom w:val="single" w:sz="4" w:space="0" w:color="auto"/>
              <w:right w:val="nil"/>
            </w:tcBorders>
            <w:shd w:val="clear" w:color="auto" w:fill="auto"/>
            <w:vAlign w:val="center"/>
          </w:tcPr>
          <w:p w14:paraId="5312EF26"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186D5C06"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Global financial crisis (2008-2009)</w:t>
            </w:r>
          </w:p>
        </w:tc>
      </w:tr>
      <w:tr w:rsidR="00CC477F" w:rsidRPr="00EE5852" w14:paraId="177937A3" w14:textId="77777777" w:rsidTr="007D643C">
        <w:trPr>
          <w:trHeight w:val="288"/>
        </w:trPr>
        <w:tc>
          <w:tcPr>
            <w:tcW w:w="409" w:type="pct"/>
            <w:tcBorders>
              <w:top w:val="single" w:sz="4" w:space="0" w:color="auto"/>
              <w:bottom w:val="single" w:sz="4" w:space="0" w:color="auto"/>
            </w:tcBorders>
            <w:shd w:val="clear" w:color="auto" w:fill="auto"/>
            <w:vAlign w:val="center"/>
          </w:tcPr>
          <w:p w14:paraId="050E3341"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tcPr>
          <w:p w14:paraId="0CD105B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Netherlands</w:t>
            </w:r>
          </w:p>
        </w:tc>
        <w:tc>
          <w:tcPr>
            <w:tcW w:w="459" w:type="pct"/>
            <w:tcBorders>
              <w:top w:val="single" w:sz="4" w:space="0" w:color="auto"/>
              <w:bottom w:val="single" w:sz="4" w:space="0" w:color="auto"/>
            </w:tcBorders>
            <w:shd w:val="clear" w:color="auto" w:fill="auto"/>
            <w:vAlign w:val="center"/>
          </w:tcPr>
          <w:p w14:paraId="49D5847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2009</w:t>
            </w:r>
          </w:p>
        </w:tc>
        <w:tc>
          <w:tcPr>
            <w:tcW w:w="429" w:type="pct"/>
            <w:tcBorders>
              <w:top w:val="single" w:sz="4" w:space="0" w:color="auto"/>
              <w:left w:val="nil"/>
              <w:bottom w:val="single" w:sz="4" w:space="0" w:color="auto"/>
              <w:right w:val="nil"/>
            </w:tcBorders>
            <w:shd w:val="clear" w:color="auto" w:fill="auto"/>
            <w:vAlign w:val="center"/>
          </w:tcPr>
          <w:p w14:paraId="1F489A09"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3F4A10F4"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Global financial crisis (2008-2009)</w:t>
            </w:r>
          </w:p>
        </w:tc>
      </w:tr>
      <w:tr w:rsidR="00CC477F" w:rsidRPr="00EE5852" w14:paraId="738FDC09" w14:textId="77777777" w:rsidTr="007D643C">
        <w:trPr>
          <w:trHeight w:val="288"/>
        </w:trPr>
        <w:tc>
          <w:tcPr>
            <w:tcW w:w="409" w:type="pct"/>
            <w:tcBorders>
              <w:top w:val="single" w:sz="4" w:space="0" w:color="auto"/>
              <w:bottom w:val="single" w:sz="4" w:space="0" w:color="auto"/>
            </w:tcBorders>
            <w:shd w:val="clear" w:color="auto" w:fill="auto"/>
            <w:vAlign w:val="center"/>
          </w:tcPr>
          <w:p w14:paraId="20581746"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6E818E9A"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France</w:t>
            </w:r>
          </w:p>
        </w:tc>
        <w:tc>
          <w:tcPr>
            <w:tcW w:w="459" w:type="pct"/>
            <w:tcBorders>
              <w:top w:val="single" w:sz="4" w:space="0" w:color="auto"/>
              <w:bottom w:val="single" w:sz="4" w:space="0" w:color="auto"/>
            </w:tcBorders>
            <w:shd w:val="clear" w:color="auto" w:fill="auto"/>
            <w:vAlign w:val="center"/>
            <w:hideMark/>
          </w:tcPr>
          <w:p w14:paraId="7B48904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200</w:t>
            </w:r>
            <w:r>
              <w:rPr>
                <w:rFonts w:ascii="Times New Roman" w:hAnsi="Times New Roman" w:cs="Times New Roman"/>
                <w:sz w:val="20"/>
                <w:szCs w:val="20"/>
              </w:rPr>
              <w:t>9</w:t>
            </w:r>
          </w:p>
        </w:tc>
        <w:tc>
          <w:tcPr>
            <w:tcW w:w="429" w:type="pct"/>
            <w:tcBorders>
              <w:top w:val="single" w:sz="4" w:space="0" w:color="auto"/>
              <w:left w:val="nil"/>
              <w:bottom w:val="single" w:sz="4" w:space="0" w:color="auto"/>
              <w:right w:val="nil"/>
            </w:tcBorders>
            <w:shd w:val="clear" w:color="auto" w:fill="auto"/>
            <w:vAlign w:val="center"/>
          </w:tcPr>
          <w:p w14:paraId="29D4923F"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5AFB3E3F"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Global financial crisis (2008-2009)</w:t>
            </w:r>
          </w:p>
        </w:tc>
      </w:tr>
      <w:tr w:rsidR="00CC477F" w:rsidRPr="00EE5852" w14:paraId="1A42094F" w14:textId="77777777" w:rsidTr="007D643C">
        <w:trPr>
          <w:trHeight w:val="288"/>
        </w:trPr>
        <w:tc>
          <w:tcPr>
            <w:tcW w:w="409" w:type="pct"/>
            <w:tcBorders>
              <w:top w:val="single" w:sz="4" w:space="0" w:color="auto"/>
              <w:bottom w:val="single" w:sz="4" w:space="0" w:color="auto"/>
            </w:tcBorders>
            <w:shd w:val="clear" w:color="auto" w:fill="auto"/>
            <w:vAlign w:val="center"/>
          </w:tcPr>
          <w:p w14:paraId="70F94DB6"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tcPr>
          <w:p w14:paraId="2727367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Spain</w:t>
            </w:r>
          </w:p>
        </w:tc>
        <w:tc>
          <w:tcPr>
            <w:tcW w:w="459" w:type="pct"/>
            <w:tcBorders>
              <w:top w:val="single" w:sz="4" w:space="0" w:color="auto"/>
              <w:bottom w:val="single" w:sz="4" w:space="0" w:color="auto"/>
            </w:tcBorders>
            <w:shd w:val="clear" w:color="auto" w:fill="auto"/>
            <w:vAlign w:val="center"/>
          </w:tcPr>
          <w:p w14:paraId="2661CDCC"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2009</w:t>
            </w:r>
          </w:p>
        </w:tc>
        <w:tc>
          <w:tcPr>
            <w:tcW w:w="429" w:type="pct"/>
            <w:tcBorders>
              <w:top w:val="single" w:sz="4" w:space="0" w:color="auto"/>
              <w:left w:val="nil"/>
              <w:bottom w:val="single" w:sz="4" w:space="0" w:color="auto"/>
              <w:right w:val="nil"/>
            </w:tcBorders>
            <w:shd w:val="clear" w:color="auto" w:fill="auto"/>
            <w:vAlign w:val="center"/>
          </w:tcPr>
          <w:p w14:paraId="1120DF08"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3518FA2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Global financial crisis (2008-2009)</w:t>
            </w:r>
          </w:p>
        </w:tc>
      </w:tr>
      <w:tr w:rsidR="00CC477F" w:rsidRPr="00EE5852" w14:paraId="75B7DF38" w14:textId="77777777" w:rsidTr="007D643C">
        <w:trPr>
          <w:trHeight w:val="288"/>
        </w:trPr>
        <w:tc>
          <w:tcPr>
            <w:tcW w:w="409" w:type="pct"/>
            <w:tcBorders>
              <w:top w:val="single" w:sz="4" w:space="0" w:color="auto"/>
              <w:bottom w:val="single" w:sz="4" w:space="0" w:color="auto"/>
            </w:tcBorders>
            <w:shd w:val="clear" w:color="auto" w:fill="auto"/>
            <w:vAlign w:val="center"/>
          </w:tcPr>
          <w:p w14:paraId="726BCC53"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tcPr>
          <w:p w14:paraId="2C8A87EF"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Portugal</w:t>
            </w:r>
          </w:p>
        </w:tc>
        <w:tc>
          <w:tcPr>
            <w:tcW w:w="459" w:type="pct"/>
            <w:tcBorders>
              <w:top w:val="single" w:sz="4" w:space="0" w:color="auto"/>
              <w:bottom w:val="single" w:sz="4" w:space="0" w:color="auto"/>
            </w:tcBorders>
            <w:shd w:val="clear" w:color="auto" w:fill="auto"/>
            <w:vAlign w:val="center"/>
          </w:tcPr>
          <w:p w14:paraId="598DB85C"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1974</w:t>
            </w:r>
          </w:p>
        </w:tc>
        <w:tc>
          <w:tcPr>
            <w:tcW w:w="429" w:type="pct"/>
            <w:tcBorders>
              <w:top w:val="single" w:sz="4" w:space="0" w:color="auto"/>
              <w:left w:val="nil"/>
              <w:bottom w:val="single" w:sz="4" w:space="0" w:color="auto"/>
              <w:right w:val="nil"/>
            </w:tcBorders>
            <w:shd w:val="clear" w:color="auto" w:fill="auto"/>
            <w:vAlign w:val="center"/>
          </w:tcPr>
          <w:p w14:paraId="2CE687C7"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22F3956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Carnation Revolution; April 1974 military coup overthrowing authoritarian Estado Novo; civil resistance campaign</w:t>
            </w:r>
          </w:p>
        </w:tc>
      </w:tr>
      <w:tr w:rsidR="00CC477F" w:rsidRPr="00EE5852" w14:paraId="0584912C" w14:textId="77777777" w:rsidTr="007D643C">
        <w:trPr>
          <w:trHeight w:val="288"/>
        </w:trPr>
        <w:tc>
          <w:tcPr>
            <w:tcW w:w="409" w:type="pct"/>
            <w:tcBorders>
              <w:top w:val="single" w:sz="4" w:space="0" w:color="auto"/>
              <w:bottom w:val="single" w:sz="4" w:space="0" w:color="auto"/>
            </w:tcBorders>
            <w:shd w:val="clear" w:color="auto" w:fill="auto"/>
            <w:vAlign w:val="center"/>
          </w:tcPr>
          <w:p w14:paraId="29FB4DC6"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28E36419"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Germany</w:t>
            </w:r>
          </w:p>
        </w:tc>
        <w:tc>
          <w:tcPr>
            <w:tcW w:w="459" w:type="pct"/>
            <w:tcBorders>
              <w:top w:val="single" w:sz="4" w:space="0" w:color="auto"/>
              <w:bottom w:val="single" w:sz="4" w:space="0" w:color="auto"/>
            </w:tcBorders>
            <w:shd w:val="clear" w:color="auto" w:fill="auto"/>
            <w:vAlign w:val="center"/>
            <w:hideMark/>
          </w:tcPr>
          <w:p w14:paraId="3683CB47"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200</w:t>
            </w:r>
            <w:r>
              <w:rPr>
                <w:rFonts w:ascii="Times New Roman" w:hAnsi="Times New Roman" w:cs="Times New Roman"/>
                <w:sz w:val="20"/>
                <w:szCs w:val="20"/>
              </w:rPr>
              <w:t>9</w:t>
            </w:r>
          </w:p>
        </w:tc>
        <w:tc>
          <w:tcPr>
            <w:tcW w:w="429" w:type="pct"/>
            <w:tcBorders>
              <w:top w:val="single" w:sz="4" w:space="0" w:color="auto"/>
              <w:left w:val="nil"/>
              <w:bottom w:val="single" w:sz="4" w:space="0" w:color="auto"/>
              <w:right w:val="nil"/>
            </w:tcBorders>
            <w:shd w:val="clear" w:color="auto" w:fill="auto"/>
            <w:vAlign w:val="center"/>
          </w:tcPr>
          <w:p w14:paraId="791A4578"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7FE8154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Global financial crisis (2008-2009)</w:t>
            </w:r>
          </w:p>
        </w:tc>
      </w:tr>
      <w:tr w:rsidR="00CC477F" w:rsidRPr="00EE5852" w14:paraId="703DC55B" w14:textId="77777777" w:rsidTr="007D643C">
        <w:trPr>
          <w:trHeight w:val="288"/>
        </w:trPr>
        <w:tc>
          <w:tcPr>
            <w:tcW w:w="409" w:type="pct"/>
            <w:tcBorders>
              <w:top w:val="single" w:sz="4" w:space="0" w:color="auto"/>
              <w:bottom w:val="single" w:sz="4" w:space="0" w:color="auto"/>
            </w:tcBorders>
            <w:shd w:val="clear" w:color="auto" w:fill="auto"/>
            <w:vAlign w:val="center"/>
          </w:tcPr>
          <w:p w14:paraId="49C1F2C4"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308B225E"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Germany</w:t>
            </w:r>
          </w:p>
        </w:tc>
        <w:tc>
          <w:tcPr>
            <w:tcW w:w="459" w:type="pct"/>
            <w:tcBorders>
              <w:top w:val="single" w:sz="4" w:space="0" w:color="auto"/>
              <w:bottom w:val="single" w:sz="4" w:space="0" w:color="auto"/>
            </w:tcBorders>
            <w:shd w:val="clear" w:color="auto" w:fill="auto"/>
            <w:vAlign w:val="center"/>
            <w:hideMark/>
          </w:tcPr>
          <w:p w14:paraId="64B24FD4"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2012</w:t>
            </w:r>
          </w:p>
        </w:tc>
        <w:tc>
          <w:tcPr>
            <w:tcW w:w="429" w:type="pct"/>
            <w:tcBorders>
              <w:top w:val="single" w:sz="4" w:space="0" w:color="auto"/>
              <w:left w:val="nil"/>
              <w:bottom w:val="single" w:sz="4" w:space="0" w:color="auto"/>
              <w:right w:val="nil"/>
            </w:tcBorders>
            <w:shd w:val="clear" w:color="auto" w:fill="auto"/>
            <w:vAlign w:val="center"/>
          </w:tcPr>
          <w:p w14:paraId="27AD767F"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44A7B0F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Eurozone economy crisis - </w:t>
            </w:r>
          </w:p>
        </w:tc>
      </w:tr>
      <w:tr w:rsidR="00CC477F" w:rsidRPr="00EE5852" w14:paraId="2952D1D0" w14:textId="77777777" w:rsidTr="007D643C">
        <w:trPr>
          <w:trHeight w:val="288"/>
        </w:trPr>
        <w:tc>
          <w:tcPr>
            <w:tcW w:w="409" w:type="pct"/>
            <w:tcBorders>
              <w:top w:val="single" w:sz="4" w:space="0" w:color="auto"/>
              <w:bottom w:val="single" w:sz="4" w:space="0" w:color="auto"/>
            </w:tcBorders>
            <w:shd w:val="clear" w:color="auto" w:fill="auto"/>
            <w:vAlign w:val="center"/>
          </w:tcPr>
          <w:p w14:paraId="0CC92009" w14:textId="77777777" w:rsidR="00CC477F" w:rsidRPr="00EE5852" w:rsidRDefault="00CC477F" w:rsidP="007D643C">
            <w:pPr>
              <w:rPr>
                <w:rFonts w:ascii="Times New Roman" w:hAnsi="Times New Roman" w:cs="Times New Roman"/>
                <w:sz w:val="20"/>
                <w:szCs w:val="20"/>
              </w:rPr>
            </w:pPr>
            <w:r>
              <w:rPr>
                <w:rFonts w:ascii="Times New Roman" w:hAnsi="Times New Roman" w:cs="Times New Roman"/>
                <w:sz w:val="20"/>
                <w:szCs w:val="20"/>
              </w:rPr>
              <w:t>X</w:t>
            </w:r>
          </w:p>
        </w:tc>
        <w:tc>
          <w:tcPr>
            <w:tcW w:w="905" w:type="pct"/>
            <w:tcBorders>
              <w:top w:val="single" w:sz="4" w:space="0" w:color="auto"/>
              <w:bottom w:val="single" w:sz="4" w:space="0" w:color="auto"/>
            </w:tcBorders>
            <w:shd w:val="clear" w:color="auto" w:fill="auto"/>
            <w:vAlign w:val="center"/>
            <w:hideMark/>
          </w:tcPr>
          <w:p w14:paraId="1ADEA30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Poland</w:t>
            </w:r>
          </w:p>
        </w:tc>
        <w:tc>
          <w:tcPr>
            <w:tcW w:w="459" w:type="pct"/>
            <w:tcBorders>
              <w:top w:val="single" w:sz="4" w:space="0" w:color="auto"/>
              <w:bottom w:val="single" w:sz="4" w:space="0" w:color="auto"/>
            </w:tcBorders>
            <w:shd w:val="clear" w:color="auto" w:fill="auto"/>
            <w:vAlign w:val="center"/>
            <w:hideMark/>
          </w:tcPr>
          <w:p w14:paraId="6A203DDE"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1992</w:t>
            </w:r>
          </w:p>
        </w:tc>
        <w:tc>
          <w:tcPr>
            <w:tcW w:w="429" w:type="pct"/>
            <w:tcBorders>
              <w:top w:val="single" w:sz="4" w:space="0" w:color="auto"/>
              <w:left w:val="nil"/>
              <w:bottom w:val="single" w:sz="4" w:space="0" w:color="auto"/>
              <w:right w:val="nil"/>
            </w:tcBorders>
            <w:shd w:val="clear" w:color="auto" w:fill="auto"/>
            <w:vAlign w:val="center"/>
          </w:tcPr>
          <w:p w14:paraId="71F26C0D"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7C2818F8" w14:textId="77777777" w:rsidR="00CC477F" w:rsidRPr="00EE5852" w:rsidRDefault="00CC477F" w:rsidP="007D643C">
            <w:pPr>
              <w:rPr>
                <w:rFonts w:ascii="Times New Roman" w:hAnsi="Times New Roman" w:cs="Times New Roman"/>
                <w:sz w:val="20"/>
                <w:szCs w:val="20"/>
              </w:rPr>
            </w:pPr>
            <w:r>
              <w:rPr>
                <w:rFonts w:ascii="Times New Roman" w:hAnsi="Times New Roman" w:cs="Times New Roman"/>
                <w:color w:val="000000"/>
                <w:sz w:val="20"/>
                <w:szCs w:val="20"/>
              </w:rPr>
              <w:t>1991 Polish government implemented “shock” economic reforms</w:t>
            </w:r>
          </w:p>
        </w:tc>
      </w:tr>
      <w:tr w:rsidR="00CC477F" w:rsidRPr="00EE5852" w14:paraId="30D60298" w14:textId="77777777" w:rsidTr="007D643C">
        <w:trPr>
          <w:trHeight w:val="288"/>
        </w:trPr>
        <w:tc>
          <w:tcPr>
            <w:tcW w:w="409" w:type="pct"/>
            <w:tcBorders>
              <w:top w:val="single" w:sz="4" w:space="0" w:color="auto"/>
              <w:bottom w:val="single" w:sz="4" w:space="0" w:color="auto"/>
            </w:tcBorders>
            <w:shd w:val="clear" w:color="auto" w:fill="auto"/>
            <w:vAlign w:val="center"/>
          </w:tcPr>
          <w:p w14:paraId="6947EBCE"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tcPr>
          <w:p w14:paraId="072E3679"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Hungary</w:t>
            </w:r>
          </w:p>
        </w:tc>
        <w:tc>
          <w:tcPr>
            <w:tcW w:w="459" w:type="pct"/>
            <w:tcBorders>
              <w:top w:val="single" w:sz="4" w:space="0" w:color="auto"/>
              <w:bottom w:val="single" w:sz="4" w:space="0" w:color="auto"/>
            </w:tcBorders>
            <w:shd w:val="clear" w:color="auto" w:fill="auto"/>
            <w:vAlign w:val="center"/>
          </w:tcPr>
          <w:p w14:paraId="12EC845F"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2009</w:t>
            </w:r>
          </w:p>
        </w:tc>
        <w:tc>
          <w:tcPr>
            <w:tcW w:w="429" w:type="pct"/>
            <w:tcBorders>
              <w:top w:val="single" w:sz="4" w:space="0" w:color="auto"/>
              <w:left w:val="nil"/>
              <w:bottom w:val="single" w:sz="4" w:space="0" w:color="auto"/>
              <w:right w:val="nil"/>
            </w:tcBorders>
            <w:shd w:val="clear" w:color="auto" w:fill="auto"/>
            <w:vAlign w:val="center"/>
          </w:tcPr>
          <w:p w14:paraId="169EDDC5"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67AE9D50"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Hungarian Financial Crisis; large external debt prior to Global economic crisis, then global economic crisis hit</w:t>
            </w:r>
          </w:p>
        </w:tc>
      </w:tr>
      <w:tr w:rsidR="00CC477F" w:rsidRPr="00EE5852" w14:paraId="382C1D52" w14:textId="77777777" w:rsidTr="007D643C">
        <w:trPr>
          <w:trHeight w:val="288"/>
        </w:trPr>
        <w:tc>
          <w:tcPr>
            <w:tcW w:w="409" w:type="pct"/>
            <w:tcBorders>
              <w:top w:val="single" w:sz="4" w:space="0" w:color="auto"/>
              <w:bottom w:val="single" w:sz="4" w:space="0" w:color="auto"/>
            </w:tcBorders>
            <w:shd w:val="clear" w:color="auto" w:fill="auto"/>
            <w:vAlign w:val="center"/>
          </w:tcPr>
          <w:p w14:paraId="1D2E56B7"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15C167A0"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Italy</w:t>
            </w:r>
          </w:p>
        </w:tc>
        <w:tc>
          <w:tcPr>
            <w:tcW w:w="459" w:type="pct"/>
            <w:tcBorders>
              <w:top w:val="single" w:sz="4" w:space="0" w:color="auto"/>
              <w:bottom w:val="single" w:sz="4" w:space="0" w:color="auto"/>
            </w:tcBorders>
            <w:shd w:val="clear" w:color="auto" w:fill="auto"/>
            <w:vAlign w:val="center"/>
            <w:hideMark/>
          </w:tcPr>
          <w:p w14:paraId="37B120FE"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2009</w:t>
            </w:r>
          </w:p>
        </w:tc>
        <w:tc>
          <w:tcPr>
            <w:tcW w:w="429" w:type="pct"/>
            <w:tcBorders>
              <w:top w:val="single" w:sz="4" w:space="0" w:color="auto"/>
              <w:left w:val="nil"/>
              <w:bottom w:val="single" w:sz="4" w:space="0" w:color="auto"/>
              <w:right w:val="nil"/>
            </w:tcBorders>
            <w:shd w:val="clear" w:color="auto" w:fill="auto"/>
            <w:vAlign w:val="center"/>
          </w:tcPr>
          <w:p w14:paraId="214B8F23"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6ABEE38A"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Global financial crisis (2008-2009)</w:t>
            </w:r>
          </w:p>
        </w:tc>
      </w:tr>
      <w:tr w:rsidR="00CC477F" w:rsidRPr="00EE5852" w14:paraId="70C0A701" w14:textId="77777777" w:rsidTr="007D643C">
        <w:trPr>
          <w:trHeight w:val="288"/>
        </w:trPr>
        <w:tc>
          <w:tcPr>
            <w:tcW w:w="409" w:type="pct"/>
            <w:tcBorders>
              <w:top w:val="single" w:sz="4" w:space="0" w:color="auto"/>
              <w:bottom w:val="single" w:sz="4" w:space="0" w:color="auto"/>
            </w:tcBorders>
            <w:shd w:val="clear" w:color="auto" w:fill="auto"/>
            <w:vAlign w:val="center"/>
          </w:tcPr>
          <w:p w14:paraId="0F6D93C1"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tcPr>
          <w:p w14:paraId="79CA1918"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Albania</w:t>
            </w:r>
          </w:p>
        </w:tc>
        <w:tc>
          <w:tcPr>
            <w:tcW w:w="459" w:type="pct"/>
            <w:tcBorders>
              <w:top w:val="single" w:sz="4" w:space="0" w:color="auto"/>
              <w:bottom w:val="single" w:sz="4" w:space="0" w:color="auto"/>
            </w:tcBorders>
            <w:shd w:val="clear" w:color="auto" w:fill="auto"/>
            <w:vAlign w:val="center"/>
          </w:tcPr>
          <w:p w14:paraId="5931A095"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1997</w:t>
            </w:r>
          </w:p>
        </w:tc>
        <w:tc>
          <w:tcPr>
            <w:tcW w:w="429" w:type="pct"/>
            <w:tcBorders>
              <w:top w:val="single" w:sz="4" w:space="0" w:color="auto"/>
              <w:left w:val="nil"/>
              <w:bottom w:val="single" w:sz="4" w:space="0" w:color="auto"/>
              <w:right w:val="nil"/>
            </w:tcBorders>
            <w:shd w:val="clear" w:color="auto" w:fill="auto"/>
            <w:vAlign w:val="center"/>
          </w:tcPr>
          <w:p w14:paraId="5FEA5F80"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3D5E9681"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Albanian Civil War 1997</w:t>
            </w:r>
          </w:p>
        </w:tc>
      </w:tr>
      <w:tr w:rsidR="00CC477F" w:rsidRPr="00EE5852" w14:paraId="6792C8D2" w14:textId="77777777" w:rsidTr="007D643C">
        <w:trPr>
          <w:trHeight w:val="288"/>
        </w:trPr>
        <w:tc>
          <w:tcPr>
            <w:tcW w:w="409" w:type="pct"/>
            <w:tcBorders>
              <w:top w:val="single" w:sz="4" w:space="0" w:color="auto"/>
              <w:bottom w:val="single" w:sz="4" w:space="0" w:color="auto"/>
            </w:tcBorders>
            <w:shd w:val="clear" w:color="auto" w:fill="auto"/>
            <w:vAlign w:val="center"/>
          </w:tcPr>
          <w:p w14:paraId="29D3D0E5"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3E019AA9"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Macedonia</w:t>
            </w:r>
          </w:p>
        </w:tc>
        <w:tc>
          <w:tcPr>
            <w:tcW w:w="459" w:type="pct"/>
            <w:tcBorders>
              <w:top w:val="single" w:sz="4" w:space="0" w:color="auto"/>
              <w:bottom w:val="single" w:sz="4" w:space="0" w:color="auto"/>
            </w:tcBorders>
            <w:shd w:val="clear" w:color="auto" w:fill="auto"/>
            <w:vAlign w:val="center"/>
          </w:tcPr>
          <w:p w14:paraId="5E972B7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2001</w:t>
            </w:r>
          </w:p>
        </w:tc>
        <w:tc>
          <w:tcPr>
            <w:tcW w:w="429" w:type="pct"/>
            <w:tcBorders>
              <w:top w:val="single" w:sz="4" w:space="0" w:color="auto"/>
              <w:left w:val="nil"/>
              <w:bottom w:val="single" w:sz="4" w:space="0" w:color="auto"/>
              <w:right w:val="nil"/>
            </w:tcBorders>
            <w:shd w:val="clear" w:color="auto" w:fill="auto"/>
            <w:vAlign w:val="center"/>
          </w:tcPr>
          <w:p w14:paraId="686A9D63"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5D24CB29"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2001 insurgency in Macedonia; ethnic militant groups attacked Macedonian security forces early 2001 - lasted entire year</w:t>
            </w:r>
          </w:p>
        </w:tc>
      </w:tr>
      <w:tr w:rsidR="00CC477F" w:rsidRPr="00EE5852" w14:paraId="0DFB6678" w14:textId="77777777" w:rsidTr="007D643C">
        <w:trPr>
          <w:trHeight w:val="288"/>
        </w:trPr>
        <w:tc>
          <w:tcPr>
            <w:tcW w:w="409" w:type="pct"/>
            <w:tcBorders>
              <w:top w:val="single" w:sz="4" w:space="0" w:color="auto"/>
              <w:bottom w:val="single" w:sz="4" w:space="0" w:color="auto"/>
            </w:tcBorders>
            <w:shd w:val="clear" w:color="auto" w:fill="auto"/>
            <w:vAlign w:val="center"/>
          </w:tcPr>
          <w:p w14:paraId="052F13D5"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7A18894C"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Yugoslavia</w:t>
            </w:r>
            <w:r>
              <w:rPr>
                <w:rFonts w:ascii="Times New Roman" w:hAnsi="Times New Roman" w:cs="Times New Roman"/>
                <w:sz w:val="20"/>
                <w:szCs w:val="20"/>
              </w:rPr>
              <w:t>/Serbia</w:t>
            </w:r>
          </w:p>
        </w:tc>
        <w:tc>
          <w:tcPr>
            <w:tcW w:w="459" w:type="pct"/>
            <w:tcBorders>
              <w:top w:val="single" w:sz="4" w:space="0" w:color="auto"/>
              <w:bottom w:val="single" w:sz="4" w:space="0" w:color="auto"/>
            </w:tcBorders>
            <w:shd w:val="clear" w:color="auto" w:fill="auto"/>
            <w:vAlign w:val="center"/>
            <w:hideMark/>
          </w:tcPr>
          <w:p w14:paraId="1A582E49"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1999</w:t>
            </w:r>
          </w:p>
        </w:tc>
        <w:tc>
          <w:tcPr>
            <w:tcW w:w="429" w:type="pct"/>
            <w:tcBorders>
              <w:top w:val="single" w:sz="4" w:space="0" w:color="auto"/>
              <w:left w:val="nil"/>
              <w:bottom w:val="single" w:sz="4" w:space="0" w:color="auto"/>
              <w:right w:val="nil"/>
            </w:tcBorders>
            <w:shd w:val="clear" w:color="auto" w:fill="auto"/>
            <w:vAlign w:val="center"/>
          </w:tcPr>
          <w:p w14:paraId="43F45BCB"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10725A35"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Yugoslav wars: Kosovo War (1998-1999); Insurgency in Presevo Valley (1999); NATO bombing 1999; Yugoslavia home to highest number of refugees and IDPs in Europe at that time</w:t>
            </w:r>
          </w:p>
        </w:tc>
      </w:tr>
      <w:tr w:rsidR="00CC477F" w:rsidRPr="00EE5852" w14:paraId="693FDEF7" w14:textId="77777777" w:rsidTr="007D643C">
        <w:trPr>
          <w:trHeight w:val="288"/>
        </w:trPr>
        <w:tc>
          <w:tcPr>
            <w:tcW w:w="409" w:type="pct"/>
            <w:tcBorders>
              <w:top w:val="single" w:sz="4" w:space="0" w:color="auto"/>
            </w:tcBorders>
            <w:shd w:val="clear" w:color="auto" w:fill="auto"/>
            <w:vAlign w:val="center"/>
          </w:tcPr>
          <w:p w14:paraId="0096BA74" w14:textId="77777777" w:rsidR="00CC477F" w:rsidRPr="00EE5852" w:rsidRDefault="00CC477F" w:rsidP="007D643C">
            <w:pPr>
              <w:rPr>
                <w:rFonts w:ascii="Times New Roman" w:hAnsi="Times New Roman" w:cs="Times New Roman"/>
                <w:sz w:val="20"/>
                <w:szCs w:val="20"/>
              </w:rPr>
            </w:pPr>
            <w:r>
              <w:rPr>
                <w:rFonts w:ascii="Times New Roman" w:hAnsi="Times New Roman" w:cs="Times New Roman"/>
                <w:sz w:val="20"/>
                <w:szCs w:val="20"/>
              </w:rPr>
              <w:t>X</w:t>
            </w:r>
          </w:p>
        </w:tc>
        <w:tc>
          <w:tcPr>
            <w:tcW w:w="905" w:type="pct"/>
            <w:tcBorders>
              <w:top w:val="single" w:sz="4" w:space="0" w:color="auto"/>
            </w:tcBorders>
            <w:shd w:val="clear" w:color="auto" w:fill="auto"/>
            <w:vAlign w:val="center"/>
            <w:hideMark/>
          </w:tcPr>
          <w:p w14:paraId="317B91B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Bosnia &amp; Herzegovina</w:t>
            </w:r>
          </w:p>
        </w:tc>
        <w:tc>
          <w:tcPr>
            <w:tcW w:w="459" w:type="pct"/>
            <w:tcBorders>
              <w:top w:val="single" w:sz="4" w:space="0" w:color="auto"/>
            </w:tcBorders>
            <w:shd w:val="clear" w:color="auto" w:fill="auto"/>
            <w:vAlign w:val="center"/>
            <w:hideMark/>
          </w:tcPr>
          <w:p w14:paraId="6C92CFD5"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1996</w:t>
            </w:r>
          </w:p>
        </w:tc>
        <w:tc>
          <w:tcPr>
            <w:tcW w:w="429" w:type="pct"/>
            <w:tcBorders>
              <w:top w:val="single" w:sz="4" w:space="0" w:color="auto"/>
              <w:left w:val="nil"/>
              <w:right w:val="nil"/>
            </w:tcBorders>
            <w:shd w:val="clear" w:color="auto" w:fill="auto"/>
            <w:vAlign w:val="center"/>
          </w:tcPr>
          <w:p w14:paraId="573C115B"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tcBorders>
            <w:shd w:val="clear" w:color="auto" w:fill="auto"/>
            <w:vAlign w:val="center"/>
          </w:tcPr>
          <w:p w14:paraId="3672B2B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1995 - end of the Bosnian War (December 1995); case of prior State Failure (1992-1995)</w:t>
            </w:r>
          </w:p>
        </w:tc>
      </w:tr>
      <w:tr w:rsidR="00CC477F" w:rsidRPr="00EE5852" w14:paraId="15FFCC34" w14:textId="77777777" w:rsidTr="007D643C">
        <w:trPr>
          <w:trHeight w:val="288"/>
        </w:trPr>
        <w:tc>
          <w:tcPr>
            <w:tcW w:w="409" w:type="pct"/>
            <w:tcBorders>
              <w:top w:val="single" w:sz="4" w:space="0" w:color="auto"/>
              <w:bottom w:val="single" w:sz="4" w:space="0" w:color="auto"/>
            </w:tcBorders>
            <w:shd w:val="clear" w:color="auto" w:fill="auto"/>
            <w:vAlign w:val="center"/>
          </w:tcPr>
          <w:p w14:paraId="52598F8F"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50E53505"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Greece</w:t>
            </w:r>
          </w:p>
        </w:tc>
        <w:tc>
          <w:tcPr>
            <w:tcW w:w="459" w:type="pct"/>
            <w:tcBorders>
              <w:top w:val="single" w:sz="4" w:space="0" w:color="auto"/>
              <w:bottom w:val="single" w:sz="4" w:space="0" w:color="auto"/>
            </w:tcBorders>
            <w:shd w:val="clear" w:color="auto" w:fill="auto"/>
            <w:vAlign w:val="center"/>
            <w:hideMark/>
          </w:tcPr>
          <w:p w14:paraId="042FD304"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1974</w:t>
            </w:r>
          </w:p>
        </w:tc>
        <w:tc>
          <w:tcPr>
            <w:tcW w:w="429" w:type="pct"/>
            <w:tcBorders>
              <w:top w:val="single" w:sz="4" w:space="0" w:color="auto"/>
              <w:left w:val="nil"/>
              <w:bottom w:val="single" w:sz="4" w:space="0" w:color="auto"/>
              <w:right w:val="nil"/>
            </w:tcBorders>
            <w:shd w:val="clear" w:color="auto" w:fill="auto"/>
            <w:vAlign w:val="center"/>
          </w:tcPr>
          <w:p w14:paraId="39BEFDE5"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6F1F11EE"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1973 Athens Polytechnic uprising rejecting the Greek military junta; subsequent coup via Junta against George Papadopoulos/Spyros Markezinis; reinstating military law; further 1974 coup attempt against Archbishop Makarios III led to invasion of Cyprus and fall of the Greek military regime during 1974</w:t>
            </w:r>
          </w:p>
        </w:tc>
      </w:tr>
      <w:tr w:rsidR="00CC477F" w:rsidRPr="00EE5852" w14:paraId="35C0E607" w14:textId="77777777" w:rsidTr="007D643C">
        <w:trPr>
          <w:trHeight w:val="288"/>
        </w:trPr>
        <w:tc>
          <w:tcPr>
            <w:tcW w:w="409" w:type="pct"/>
            <w:tcBorders>
              <w:top w:val="single" w:sz="4" w:space="0" w:color="auto"/>
              <w:bottom w:val="single" w:sz="4" w:space="0" w:color="auto"/>
            </w:tcBorders>
            <w:shd w:val="clear" w:color="auto" w:fill="auto"/>
            <w:vAlign w:val="center"/>
          </w:tcPr>
          <w:p w14:paraId="11499A5F"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4FB3D9D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Bulgaria</w:t>
            </w:r>
          </w:p>
        </w:tc>
        <w:tc>
          <w:tcPr>
            <w:tcW w:w="459" w:type="pct"/>
            <w:tcBorders>
              <w:top w:val="single" w:sz="4" w:space="0" w:color="auto"/>
              <w:bottom w:val="single" w:sz="4" w:space="0" w:color="auto"/>
            </w:tcBorders>
            <w:shd w:val="clear" w:color="auto" w:fill="auto"/>
            <w:vAlign w:val="center"/>
            <w:hideMark/>
          </w:tcPr>
          <w:p w14:paraId="41B826AE"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1989</w:t>
            </w:r>
          </w:p>
        </w:tc>
        <w:tc>
          <w:tcPr>
            <w:tcW w:w="429" w:type="pct"/>
            <w:tcBorders>
              <w:top w:val="single" w:sz="4" w:space="0" w:color="auto"/>
              <w:left w:val="nil"/>
              <w:bottom w:val="single" w:sz="4" w:space="0" w:color="auto"/>
              <w:right w:val="nil"/>
            </w:tcBorders>
            <w:shd w:val="clear" w:color="auto" w:fill="auto"/>
            <w:vAlign w:val="center"/>
          </w:tcPr>
          <w:p w14:paraId="50B0AF6F"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25472771"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1989 - </w:t>
            </w:r>
            <w:r>
              <w:rPr>
                <w:rFonts w:ascii="Times New Roman" w:hAnsi="Times New Roman" w:cs="Times New Roman"/>
                <w:color w:val="000000"/>
                <w:sz w:val="20"/>
                <w:szCs w:val="20"/>
              </w:rPr>
              <w:t>L</w:t>
            </w:r>
            <w:r w:rsidRPr="00EE5852">
              <w:rPr>
                <w:rFonts w:ascii="Times New Roman" w:hAnsi="Times New Roman" w:cs="Times New Roman"/>
                <w:color w:val="000000"/>
                <w:sz w:val="20"/>
                <w:szCs w:val="20"/>
              </w:rPr>
              <w:t xml:space="preserve">eader Todor Zhivkov ousted by Politburo following fall of Berlin Wal; </w:t>
            </w:r>
            <w:r>
              <w:rPr>
                <w:rFonts w:ascii="Times New Roman" w:hAnsi="Times New Roman" w:cs="Times New Roman"/>
                <w:color w:val="000000"/>
                <w:sz w:val="20"/>
                <w:szCs w:val="20"/>
              </w:rPr>
              <w:t xml:space="preserve">political </w:t>
            </w:r>
            <w:r w:rsidRPr="00EE5852">
              <w:rPr>
                <w:rFonts w:ascii="Times New Roman" w:hAnsi="Times New Roman" w:cs="Times New Roman"/>
                <w:color w:val="000000"/>
                <w:sz w:val="20"/>
                <w:szCs w:val="20"/>
              </w:rPr>
              <w:t>unrest during 1989</w:t>
            </w:r>
          </w:p>
        </w:tc>
      </w:tr>
      <w:tr w:rsidR="00CC477F" w:rsidRPr="00EE5852" w14:paraId="254EFCAE" w14:textId="77777777" w:rsidTr="007D643C">
        <w:trPr>
          <w:trHeight w:val="288"/>
        </w:trPr>
        <w:tc>
          <w:tcPr>
            <w:tcW w:w="409" w:type="pct"/>
            <w:tcBorders>
              <w:top w:val="single" w:sz="4" w:space="0" w:color="auto"/>
              <w:bottom w:val="single" w:sz="4" w:space="0" w:color="auto"/>
            </w:tcBorders>
            <w:shd w:val="clear" w:color="auto" w:fill="auto"/>
            <w:vAlign w:val="center"/>
          </w:tcPr>
          <w:p w14:paraId="44457B6D" w14:textId="77777777" w:rsidR="00CC477F" w:rsidRPr="00EE5852" w:rsidRDefault="00CC477F" w:rsidP="007D643C">
            <w:pPr>
              <w:rPr>
                <w:rFonts w:ascii="Times New Roman" w:hAnsi="Times New Roman" w:cs="Times New Roman"/>
                <w:sz w:val="20"/>
                <w:szCs w:val="20"/>
              </w:rPr>
            </w:pPr>
            <w:r>
              <w:rPr>
                <w:rFonts w:ascii="Times New Roman" w:hAnsi="Times New Roman" w:cs="Times New Roman"/>
                <w:sz w:val="20"/>
                <w:szCs w:val="20"/>
              </w:rPr>
              <w:t>X</w:t>
            </w:r>
          </w:p>
        </w:tc>
        <w:tc>
          <w:tcPr>
            <w:tcW w:w="905" w:type="pct"/>
            <w:tcBorders>
              <w:top w:val="single" w:sz="4" w:space="0" w:color="auto"/>
              <w:bottom w:val="single" w:sz="4" w:space="0" w:color="auto"/>
            </w:tcBorders>
            <w:shd w:val="clear" w:color="auto" w:fill="auto"/>
            <w:vAlign w:val="center"/>
            <w:hideMark/>
          </w:tcPr>
          <w:p w14:paraId="389CD91E"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Russia</w:t>
            </w:r>
          </w:p>
        </w:tc>
        <w:tc>
          <w:tcPr>
            <w:tcW w:w="459" w:type="pct"/>
            <w:tcBorders>
              <w:top w:val="single" w:sz="4" w:space="0" w:color="auto"/>
              <w:bottom w:val="single" w:sz="4" w:space="0" w:color="auto"/>
            </w:tcBorders>
            <w:shd w:val="clear" w:color="auto" w:fill="auto"/>
            <w:vAlign w:val="center"/>
            <w:hideMark/>
          </w:tcPr>
          <w:p w14:paraId="7442298A"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1992</w:t>
            </w:r>
          </w:p>
        </w:tc>
        <w:tc>
          <w:tcPr>
            <w:tcW w:w="429" w:type="pct"/>
            <w:tcBorders>
              <w:top w:val="single" w:sz="4" w:space="0" w:color="auto"/>
              <w:left w:val="nil"/>
              <w:bottom w:val="single" w:sz="4" w:space="0" w:color="auto"/>
              <w:right w:val="nil"/>
            </w:tcBorders>
            <w:shd w:val="clear" w:color="auto" w:fill="auto"/>
            <w:vAlign w:val="center"/>
          </w:tcPr>
          <w:p w14:paraId="29408493"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2B2AD58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Yeltsin transition to market economy (announced in October 1991; market-oriented reform along lines of shock therapy; resulting in hyperinflation)</w:t>
            </w:r>
          </w:p>
        </w:tc>
      </w:tr>
      <w:tr w:rsidR="00CC477F" w:rsidRPr="00EE5852" w14:paraId="5580812F" w14:textId="77777777" w:rsidTr="007D643C">
        <w:trPr>
          <w:trHeight w:val="288"/>
        </w:trPr>
        <w:tc>
          <w:tcPr>
            <w:tcW w:w="409" w:type="pct"/>
            <w:tcBorders>
              <w:top w:val="single" w:sz="4" w:space="0" w:color="auto"/>
              <w:bottom w:val="single" w:sz="4" w:space="0" w:color="auto"/>
            </w:tcBorders>
            <w:shd w:val="clear" w:color="auto" w:fill="auto"/>
            <w:vAlign w:val="center"/>
          </w:tcPr>
          <w:p w14:paraId="6240681D"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5BE7169F"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Russia</w:t>
            </w:r>
          </w:p>
        </w:tc>
        <w:tc>
          <w:tcPr>
            <w:tcW w:w="459" w:type="pct"/>
            <w:tcBorders>
              <w:top w:val="single" w:sz="4" w:space="0" w:color="auto"/>
              <w:bottom w:val="single" w:sz="4" w:space="0" w:color="auto"/>
            </w:tcBorders>
            <w:shd w:val="clear" w:color="auto" w:fill="auto"/>
            <w:vAlign w:val="center"/>
            <w:hideMark/>
          </w:tcPr>
          <w:p w14:paraId="4B5BB5CA"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2009</w:t>
            </w:r>
          </w:p>
        </w:tc>
        <w:tc>
          <w:tcPr>
            <w:tcW w:w="429" w:type="pct"/>
            <w:tcBorders>
              <w:top w:val="single" w:sz="4" w:space="0" w:color="auto"/>
              <w:left w:val="nil"/>
              <w:bottom w:val="single" w:sz="4" w:space="0" w:color="auto"/>
              <w:right w:val="nil"/>
            </w:tcBorders>
            <w:shd w:val="clear" w:color="auto" w:fill="auto"/>
            <w:vAlign w:val="center"/>
          </w:tcPr>
          <w:p w14:paraId="1859F308"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4DCD3BE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Great Recession in Russia (2008-2009); 2008 Russo-Georgian War; 2008 energy crisis (crude oil prices)</w:t>
            </w:r>
          </w:p>
        </w:tc>
      </w:tr>
      <w:tr w:rsidR="00CC477F" w:rsidRPr="00EE5852" w14:paraId="51A72F87" w14:textId="77777777" w:rsidTr="007D643C">
        <w:trPr>
          <w:trHeight w:val="288"/>
        </w:trPr>
        <w:tc>
          <w:tcPr>
            <w:tcW w:w="409" w:type="pct"/>
            <w:tcBorders>
              <w:top w:val="single" w:sz="4" w:space="0" w:color="auto"/>
              <w:bottom w:val="single" w:sz="4" w:space="0" w:color="auto"/>
            </w:tcBorders>
            <w:shd w:val="clear" w:color="auto" w:fill="auto"/>
            <w:vAlign w:val="center"/>
          </w:tcPr>
          <w:p w14:paraId="3DE8C79C"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263E75DA"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Ukraine</w:t>
            </w:r>
          </w:p>
        </w:tc>
        <w:tc>
          <w:tcPr>
            <w:tcW w:w="459" w:type="pct"/>
            <w:tcBorders>
              <w:top w:val="single" w:sz="4" w:space="0" w:color="auto"/>
              <w:bottom w:val="single" w:sz="4" w:space="0" w:color="auto"/>
            </w:tcBorders>
            <w:shd w:val="clear" w:color="auto" w:fill="auto"/>
            <w:vAlign w:val="center"/>
            <w:hideMark/>
          </w:tcPr>
          <w:p w14:paraId="453BFF4A"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2005</w:t>
            </w:r>
          </w:p>
        </w:tc>
        <w:tc>
          <w:tcPr>
            <w:tcW w:w="429" w:type="pct"/>
            <w:tcBorders>
              <w:top w:val="single" w:sz="4" w:space="0" w:color="auto"/>
              <w:left w:val="nil"/>
              <w:bottom w:val="single" w:sz="4" w:space="0" w:color="auto"/>
              <w:right w:val="nil"/>
            </w:tcBorders>
            <w:shd w:val="clear" w:color="auto" w:fill="auto"/>
            <w:vAlign w:val="center"/>
          </w:tcPr>
          <w:p w14:paraId="29BDA495"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6B5FB4C7"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Orange Revolution; Viktor F. Yanukovych resignation as PM</w:t>
            </w:r>
          </w:p>
        </w:tc>
      </w:tr>
      <w:tr w:rsidR="00CC477F" w:rsidRPr="00EE5852" w14:paraId="4DF2ABFD" w14:textId="77777777" w:rsidTr="007D643C">
        <w:trPr>
          <w:trHeight w:val="288"/>
        </w:trPr>
        <w:tc>
          <w:tcPr>
            <w:tcW w:w="409" w:type="pct"/>
            <w:tcBorders>
              <w:top w:val="single" w:sz="4" w:space="0" w:color="auto"/>
              <w:bottom w:val="single" w:sz="4" w:space="0" w:color="auto"/>
            </w:tcBorders>
            <w:shd w:val="clear" w:color="auto" w:fill="auto"/>
            <w:vAlign w:val="center"/>
          </w:tcPr>
          <w:p w14:paraId="15D723FD"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798C617F"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Ukraine</w:t>
            </w:r>
          </w:p>
        </w:tc>
        <w:tc>
          <w:tcPr>
            <w:tcW w:w="459" w:type="pct"/>
            <w:tcBorders>
              <w:top w:val="single" w:sz="4" w:space="0" w:color="auto"/>
              <w:bottom w:val="single" w:sz="4" w:space="0" w:color="auto"/>
            </w:tcBorders>
            <w:shd w:val="clear" w:color="auto" w:fill="auto"/>
            <w:vAlign w:val="center"/>
            <w:hideMark/>
          </w:tcPr>
          <w:p w14:paraId="1985350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2009</w:t>
            </w:r>
          </w:p>
        </w:tc>
        <w:tc>
          <w:tcPr>
            <w:tcW w:w="429" w:type="pct"/>
            <w:tcBorders>
              <w:top w:val="single" w:sz="4" w:space="0" w:color="auto"/>
              <w:left w:val="nil"/>
              <w:bottom w:val="single" w:sz="4" w:space="0" w:color="auto"/>
              <w:right w:val="nil"/>
            </w:tcBorders>
            <w:shd w:val="clear" w:color="auto" w:fill="auto"/>
            <w:vAlign w:val="center"/>
          </w:tcPr>
          <w:p w14:paraId="264F488C"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4A9EECE3" w14:textId="1F2CD879"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Global financial crisis (2008-2009); Russian gas disputes </w:t>
            </w:r>
          </w:p>
        </w:tc>
      </w:tr>
      <w:tr w:rsidR="00CC477F" w:rsidRPr="00EE5852" w14:paraId="211D5869" w14:textId="77777777" w:rsidTr="007D643C">
        <w:trPr>
          <w:trHeight w:val="288"/>
        </w:trPr>
        <w:tc>
          <w:tcPr>
            <w:tcW w:w="409" w:type="pct"/>
            <w:tcBorders>
              <w:top w:val="single" w:sz="4" w:space="0" w:color="auto"/>
              <w:bottom w:val="single" w:sz="4" w:space="0" w:color="auto"/>
            </w:tcBorders>
            <w:shd w:val="clear" w:color="auto" w:fill="auto"/>
            <w:vAlign w:val="center"/>
          </w:tcPr>
          <w:p w14:paraId="71BCD57C"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7456E84F"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Belarus</w:t>
            </w:r>
          </w:p>
        </w:tc>
        <w:tc>
          <w:tcPr>
            <w:tcW w:w="459" w:type="pct"/>
            <w:tcBorders>
              <w:top w:val="single" w:sz="4" w:space="0" w:color="auto"/>
              <w:bottom w:val="single" w:sz="4" w:space="0" w:color="auto"/>
            </w:tcBorders>
            <w:shd w:val="clear" w:color="auto" w:fill="auto"/>
            <w:vAlign w:val="center"/>
            <w:hideMark/>
          </w:tcPr>
          <w:p w14:paraId="451B1F0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1996</w:t>
            </w:r>
          </w:p>
        </w:tc>
        <w:tc>
          <w:tcPr>
            <w:tcW w:w="429" w:type="pct"/>
            <w:tcBorders>
              <w:top w:val="single" w:sz="4" w:space="0" w:color="auto"/>
              <w:left w:val="nil"/>
              <w:bottom w:val="single" w:sz="4" w:space="0" w:color="auto"/>
              <w:right w:val="nil"/>
            </w:tcBorders>
            <w:shd w:val="clear" w:color="auto" w:fill="auto"/>
            <w:vAlign w:val="center"/>
          </w:tcPr>
          <w:p w14:paraId="3C831568"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0BD90EE7"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1995-1996; referendum allows President to rule by decree, legislature</w:t>
            </w:r>
            <w:r>
              <w:rPr>
                <w:rFonts w:ascii="Times New Roman" w:hAnsi="Times New Roman" w:cs="Times New Roman"/>
                <w:color w:val="000000"/>
                <w:sz w:val="20"/>
                <w:szCs w:val="20"/>
              </w:rPr>
              <w:t xml:space="preserve"> disbanded; </w:t>
            </w:r>
            <w:r w:rsidRPr="00EE5852">
              <w:rPr>
                <w:rFonts w:ascii="Times New Roman" w:hAnsi="Times New Roman" w:cs="Times New Roman"/>
                <w:color w:val="000000"/>
                <w:sz w:val="20"/>
                <w:szCs w:val="20"/>
              </w:rPr>
              <w:t>(total polity change of -14)</w:t>
            </w:r>
          </w:p>
        </w:tc>
      </w:tr>
      <w:tr w:rsidR="00CC477F" w:rsidRPr="00EE5852" w14:paraId="5BFB2EA2" w14:textId="77777777" w:rsidTr="007D643C">
        <w:trPr>
          <w:trHeight w:val="288"/>
        </w:trPr>
        <w:tc>
          <w:tcPr>
            <w:tcW w:w="409" w:type="pct"/>
            <w:tcBorders>
              <w:top w:val="single" w:sz="4" w:space="0" w:color="auto"/>
              <w:bottom w:val="single" w:sz="4" w:space="0" w:color="auto"/>
            </w:tcBorders>
            <w:shd w:val="clear" w:color="auto" w:fill="auto"/>
            <w:vAlign w:val="center"/>
          </w:tcPr>
          <w:p w14:paraId="7DD5793A"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0198920C"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Armenia</w:t>
            </w:r>
          </w:p>
        </w:tc>
        <w:tc>
          <w:tcPr>
            <w:tcW w:w="459" w:type="pct"/>
            <w:tcBorders>
              <w:top w:val="single" w:sz="4" w:space="0" w:color="auto"/>
              <w:bottom w:val="single" w:sz="4" w:space="0" w:color="auto"/>
            </w:tcBorders>
            <w:shd w:val="clear" w:color="auto" w:fill="auto"/>
            <w:vAlign w:val="center"/>
            <w:hideMark/>
          </w:tcPr>
          <w:p w14:paraId="55278018"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1992</w:t>
            </w:r>
          </w:p>
        </w:tc>
        <w:tc>
          <w:tcPr>
            <w:tcW w:w="429" w:type="pct"/>
            <w:tcBorders>
              <w:top w:val="single" w:sz="4" w:space="0" w:color="auto"/>
              <w:left w:val="nil"/>
              <w:bottom w:val="single" w:sz="4" w:space="0" w:color="auto"/>
              <w:right w:val="nil"/>
            </w:tcBorders>
            <w:shd w:val="clear" w:color="auto" w:fill="auto"/>
            <w:vAlign w:val="center"/>
          </w:tcPr>
          <w:p w14:paraId="6769F93A"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678B0993"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First Nagorno-Karabakh War; massive displacement of Azerbaijanis and Armenians </w:t>
            </w:r>
          </w:p>
        </w:tc>
      </w:tr>
      <w:tr w:rsidR="00CC477F" w:rsidRPr="00EE5852" w14:paraId="55B63599" w14:textId="77777777" w:rsidTr="007D643C">
        <w:trPr>
          <w:trHeight w:val="288"/>
        </w:trPr>
        <w:tc>
          <w:tcPr>
            <w:tcW w:w="409" w:type="pct"/>
            <w:tcBorders>
              <w:top w:val="single" w:sz="4" w:space="0" w:color="auto"/>
              <w:bottom w:val="single" w:sz="4" w:space="0" w:color="auto"/>
            </w:tcBorders>
            <w:shd w:val="clear" w:color="auto" w:fill="auto"/>
            <w:vAlign w:val="center"/>
          </w:tcPr>
          <w:p w14:paraId="4E38DBB6"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7651AD4E"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Georgia</w:t>
            </w:r>
          </w:p>
        </w:tc>
        <w:tc>
          <w:tcPr>
            <w:tcW w:w="459" w:type="pct"/>
            <w:tcBorders>
              <w:top w:val="single" w:sz="4" w:space="0" w:color="auto"/>
              <w:bottom w:val="single" w:sz="4" w:space="0" w:color="auto"/>
            </w:tcBorders>
            <w:shd w:val="clear" w:color="auto" w:fill="auto"/>
            <w:vAlign w:val="center"/>
            <w:hideMark/>
          </w:tcPr>
          <w:p w14:paraId="36728186"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1992</w:t>
            </w:r>
          </w:p>
        </w:tc>
        <w:tc>
          <w:tcPr>
            <w:tcW w:w="429" w:type="pct"/>
            <w:tcBorders>
              <w:top w:val="single" w:sz="4" w:space="0" w:color="auto"/>
              <w:left w:val="nil"/>
              <w:bottom w:val="single" w:sz="4" w:space="0" w:color="auto"/>
              <w:right w:val="nil"/>
            </w:tcBorders>
            <w:shd w:val="clear" w:color="auto" w:fill="auto"/>
            <w:vAlign w:val="center"/>
          </w:tcPr>
          <w:p w14:paraId="61DFB2A4"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5DD529EC"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Georgian Civil War</w:t>
            </w:r>
            <w:r>
              <w:rPr>
                <w:rFonts w:ascii="Times New Roman" w:hAnsi="Times New Roman" w:cs="Times New Roman"/>
                <w:color w:val="000000"/>
                <w:sz w:val="20"/>
                <w:szCs w:val="20"/>
              </w:rPr>
              <w:t>;</w:t>
            </w:r>
            <w:r w:rsidRPr="00EE5852">
              <w:rPr>
                <w:rFonts w:ascii="Times New Roman" w:hAnsi="Times New Roman" w:cs="Times New Roman"/>
                <w:color w:val="000000"/>
                <w:sz w:val="20"/>
                <w:szCs w:val="20"/>
              </w:rPr>
              <w:t xml:space="preserve"> coup in December 1991 of President Zviad Gamsakhurdia; de facto secession of regions of Georgia</w:t>
            </w:r>
          </w:p>
        </w:tc>
      </w:tr>
      <w:tr w:rsidR="00CC477F" w:rsidRPr="00EE5852" w14:paraId="1344F631" w14:textId="77777777" w:rsidTr="007D643C">
        <w:trPr>
          <w:trHeight w:val="288"/>
        </w:trPr>
        <w:tc>
          <w:tcPr>
            <w:tcW w:w="409" w:type="pct"/>
            <w:tcBorders>
              <w:top w:val="single" w:sz="4" w:space="0" w:color="auto"/>
              <w:bottom w:val="single" w:sz="4" w:space="0" w:color="auto"/>
            </w:tcBorders>
            <w:shd w:val="clear" w:color="auto" w:fill="auto"/>
            <w:vAlign w:val="center"/>
          </w:tcPr>
          <w:p w14:paraId="4A3319E1"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2574AAC6"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Azerbaijan</w:t>
            </w:r>
          </w:p>
        </w:tc>
        <w:tc>
          <w:tcPr>
            <w:tcW w:w="459" w:type="pct"/>
            <w:tcBorders>
              <w:top w:val="single" w:sz="4" w:space="0" w:color="auto"/>
              <w:bottom w:val="single" w:sz="4" w:space="0" w:color="auto"/>
            </w:tcBorders>
            <w:shd w:val="clear" w:color="auto" w:fill="auto"/>
            <w:vAlign w:val="center"/>
            <w:hideMark/>
          </w:tcPr>
          <w:p w14:paraId="07C84633"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1992</w:t>
            </w:r>
          </w:p>
        </w:tc>
        <w:tc>
          <w:tcPr>
            <w:tcW w:w="429" w:type="pct"/>
            <w:tcBorders>
              <w:top w:val="single" w:sz="4" w:space="0" w:color="auto"/>
              <w:left w:val="nil"/>
              <w:bottom w:val="single" w:sz="4" w:space="0" w:color="auto"/>
              <w:right w:val="nil"/>
            </w:tcBorders>
            <w:shd w:val="clear" w:color="auto" w:fill="auto"/>
            <w:vAlign w:val="center"/>
          </w:tcPr>
          <w:p w14:paraId="2939C4F5"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2845A7D9"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First Nagorno-Karabakh War; massive displacement of Azerbaijanis and Armenians;</w:t>
            </w:r>
          </w:p>
        </w:tc>
      </w:tr>
      <w:tr w:rsidR="00CC477F" w:rsidRPr="00EE5852" w14:paraId="3E280A2E" w14:textId="77777777" w:rsidTr="007D643C">
        <w:trPr>
          <w:trHeight w:val="288"/>
        </w:trPr>
        <w:tc>
          <w:tcPr>
            <w:tcW w:w="409" w:type="pct"/>
            <w:tcBorders>
              <w:top w:val="single" w:sz="4" w:space="0" w:color="auto"/>
              <w:bottom w:val="single" w:sz="4" w:space="0" w:color="auto"/>
            </w:tcBorders>
            <w:shd w:val="clear" w:color="auto" w:fill="auto"/>
            <w:vAlign w:val="center"/>
          </w:tcPr>
          <w:p w14:paraId="57A57EC8"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02FD955A"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Finland</w:t>
            </w:r>
          </w:p>
        </w:tc>
        <w:tc>
          <w:tcPr>
            <w:tcW w:w="459" w:type="pct"/>
            <w:tcBorders>
              <w:top w:val="single" w:sz="4" w:space="0" w:color="auto"/>
              <w:bottom w:val="single" w:sz="4" w:space="0" w:color="auto"/>
            </w:tcBorders>
            <w:shd w:val="clear" w:color="auto" w:fill="auto"/>
            <w:vAlign w:val="center"/>
            <w:hideMark/>
          </w:tcPr>
          <w:p w14:paraId="5557573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1994</w:t>
            </w:r>
          </w:p>
        </w:tc>
        <w:tc>
          <w:tcPr>
            <w:tcW w:w="429" w:type="pct"/>
            <w:tcBorders>
              <w:top w:val="single" w:sz="4" w:space="0" w:color="auto"/>
              <w:left w:val="nil"/>
              <w:bottom w:val="single" w:sz="4" w:space="0" w:color="auto"/>
              <w:right w:val="nil"/>
            </w:tcBorders>
            <w:shd w:val="clear" w:color="auto" w:fill="auto"/>
            <w:vAlign w:val="center"/>
          </w:tcPr>
          <w:p w14:paraId="12BAAC30"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1E6C5C9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Finnish banking crisis; </w:t>
            </w:r>
          </w:p>
        </w:tc>
      </w:tr>
      <w:tr w:rsidR="00CC477F" w:rsidRPr="00EE5852" w14:paraId="382F2910" w14:textId="77777777" w:rsidTr="007D643C">
        <w:trPr>
          <w:trHeight w:val="288"/>
        </w:trPr>
        <w:tc>
          <w:tcPr>
            <w:tcW w:w="409" w:type="pct"/>
            <w:tcBorders>
              <w:top w:val="single" w:sz="4" w:space="0" w:color="auto"/>
              <w:bottom w:val="single" w:sz="4" w:space="0" w:color="auto"/>
            </w:tcBorders>
            <w:shd w:val="clear" w:color="auto" w:fill="auto"/>
            <w:vAlign w:val="center"/>
          </w:tcPr>
          <w:p w14:paraId="211B68F2"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3395C469"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Sweden</w:t>
            </w:r>
          </w:p>
        </w:tc>
        <w:tc>
          <w:tcPr>
            <w:tcW w:w="459" w:type="pct"/>
            <w:tcBorders>
              <w:top w:val="single" w:sz="4" w:space="0" w:color="auto"/>
              <w:bottom w:val="single" w:sz="4" w:space="0" w:color="auto"/>
            </w:tcBorders>
            <w:shd w:val="clear" w:color="auto" w:fill="auto"/>
            <w:vAlign w:val="center"/>
            <w:hideMark/>
          </w:tcPr>
          <w:p w14:paraId="139CC857"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2008</w:t>
            </w:r>
          </w:p>
        </w:tc>
        <w:tc>
          <w:tcPr>
            <w:tcW w:w="429" w:type="pct"/>
            <w:tcBorders>
              <w:top w:val="single" w:sz="4" w:space="0" w:color="auto"/>
              <w:left w:val="nil"/>
              <w:bottom w:val="single" w:sz="4" w:space="0" w:color="auto"/>
              <w:right w:val="nil"/>
            </w:tcBorders>
            <w:shd w:val="clear" w:color="auto" w:fill="auto"/>
            <w:vAlign w:val="center"/>
          </w:tcPr>
          <w:p w14:paraId="00BE5D11"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22051624"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Global financial crisis (2008-2009)</w:t>
            </w:r>
          </w:p>
        </w:tc>
      </w:tr>
      <w:tr w:rsidR="00CC477F" w:rsidRPr="00EE5852" w14:paraId="782C8C15" w14:textId="77777777" w:rsidTr="007D643C">
        <w:trPr>
          <w:trHeight w:val="288"/>
        </w:trPr>
        <w:tc>
          <w:tcPr>
            <w:tcW w:w="409" w:type="pct"/>
            <w:tcBorders>
              <w:top w:val="single" w:sz="4" w:space="0" w:color="auto"/>
              <w:bottom w:val="single" w:sz="4" w:space="0" w:color="auto"/>
            </w:tcBorders>
            <w:shd w:val="clear" w:color="auto" w:fill="auto"/>
            <w:vAlign w:val="center"/>
          </w:tcPr>
          <w:p w14:paraId="044722D2"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380F7F8C"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Norway</w:t>
            </w:r>
          </w:p>
        </w:tc>
        <w:tc>
          <w:tcPr>
            <w:tcW w:w="459" w:type="pct"/>
            <w:tcBorders>
              <w:top w:val="single" w:sz="4" w:space="0" w:color="auto"/>
              <w:bottom w:val="single" w:sz="4" w:space="0" w:color="auto"/>
            </w:tcBorders>
            <w:shd w:val="clear" w:color="auto" w:fill="auto"/>
            <w:vAlign w:val="center"/>
            <w:hideMark/>
          </w:tcPr>
          <w:p w14:paraId="459CEC9C"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2008</w:t>
            </w:r>
          </w:p>
        </w:tc>
        <w:tc>
          <w:tcPr>
            <w:tcW w:w="429" w:type="pct"/>
            <w:tcBorders>
              <w:top w:val="single" w:sz="4" w:space="0" w:color="auto"/>
              <w:left w:val="nil"/>
              <w:bottom w:val="single" w:sz="4" w:space="0" w:color="auto"/>
              <w:right w:val="nil"/>
            </w:tcBorders>
            <w:shd w:val="clear" w:color="auto" w:fill="auto"/>
            <w:vAlign w:val="center"/>
          </w:tcPr>
          <w:p w14:paraId="302DF2D7"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6DC9F799"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Global financial crisis (2008-2009)</w:t>
            </w:r>
          </w:p>
        </w:tc>
      </w:tr>
      <w:tr w:rsidR="00CC477F" w:rsidRPr="00EE5852" w14:paraId="70553015" w14:textId="77777777" w:rsidTr="007D643C">
        <w:trPr>
          <w:trHeight w:val="288"/>
        </w:trPr>
        <w:tc>
          <w:tcPr>
            <w:tcW w:w="409" w:type="pct"/>
            <w:tcBorders>
              <w:top w:val="single" w:sz="4" w:space="0" w:color="auto"/>
              <w:bottom w:val="single" w:sz="4" w:space="0" w:color="auto"/>
            </w:tcBorders>
            <w:shd w:val="clear" w:color="auto" w:fill="auto"/>
            <w:vAlign w:val="center"/>
          </w:tcPr>
          <w:p w14:paraId="60070A39"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09200BA5"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Guinea-Bissau</w:t>
            </w:r>
          </w:p>
        </w:tc>
        <w:tc>
          <w:tcPr>
            <w:tcW w:w="459" w:type="pct"/>
            <w:tcBorders>
              <w:top w:val="single" w:sz="4" w:space="0" w:color="auto"/>
              <w:bottom w:val="single" w:sz="4" w:space="0" w:color="auto"/>
            </w:tcBorders>
            <w:shd w:val="clear" w:color="auto" w:fill="auto"/>
            <w:vAlign w:val="center"/>
            <w:hideMark/>
          </w:tcPr>
          <w:p w14:paraId="2D6B71B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1998</w:t>
            </w:r>
          </w:p>
        </w:tc>
        <w:tc>
          <w:tcPr>
            <w:tcW w:w="429" w:type="pct"/>
            <w:tcBorders>
              <w:top w:val="single" w:sz="4" w:space="0" w:color="auto"/>
              <w:left w:val="nil"/>
              <w:bottom w:val="single" w:sz="4" w:space="0" w:color="auto"/>
              <w:right w:val="nil"/>
            </w:tcBorders>
            <w:shd w:val="clear" w:color="auto" w:fill="auto"/>
            <w:vAlign w:val="center"/>
          </w:tcPr>
          <w:p w14:paraId="0DF72D5D"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5E940A1F"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Guinea-Bissau Civil War - 1998; coup of President Joao Bernardo Vieira by Brigadier-General Ansumane Mane; </w:t>
            </w:r>
          </w:p>
        </w:tc>
      </w:tr>
      <w:tr w:rsidR="00CC477F" w:rsidRPr="00EE5852" w14:paraId="6F023169" w14:textId="77777777" w:rsidTr="007D643C">
        <w:trPr>
          <w:trHeight w:val="288"/>
        </w:trPr>
        <w:tc>
          <w:tcPr>
            <w:tcW w:w="409" w:type="pct"/>
            <w:tcBorders>
              <w:top w:val="single" w:sz="4" w:space="0" w:color="auto"/>
              <w:bottom w:val="single" w:sz="4" w:space="0" w:color="auto"/>
            </w:tcBorders>
            <w:shd w:val="clear" w:color="auto" w:fill="auto"/>
            <w:vAlign w:val="center"/>
          </w:tcPr>
          <w:p w14:paraId="0F229A41"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3D84769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Ivory Coast</w:t>
            </w:r>
          </w:p>
        </w:tc>
        <w:tc>
          <w:tcPr>
            <w:tcW w:w="459" w:type="pct"/>
            <w:tcBorders>
              <w:top w:val="single" w:sz="4" w:space="0" w:color="auto"/>
              <w:bottom w:val="single" w:sz="4" w:space="0" w:color="auto"/>
            </w:tcBorders>
            <w:shd w:val="clear" w:color="auto" w:fill="auto"/>
            <w:vAlign w:val="center"/>
            <w:hideMark/>
          </w:tcPr>
          <w:p w14:paraId="1DC59968"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201</w:t>
            </w:r>
            <w:r>
              <w:rPr>
                <w:rFonts w:ascii="Times New Roman" w:hAnsi="Times New Roman" w:cs="Times New Roman"/>
                <w:sz w:val="20"/>
                <w:szCs w:val="20"/>
              </w:rPr>
              <w:t>2</w:t>
            </w:r>
          </w:p>
        </w:tc>
        <w:tc>
          <w:tcPr>
            <w:tcW w:w="429" w:type="pct"/>
            <w:tcBorders>
              <w:top w:val="single" w:sz="4" w:space="0" w:color="auto"/>
              <w:left w:val="nil"/>
              <w:bottom w:val="single" w:sz="4" w:space="0" w:color="auto"/>
              <w:right w:val="nil"/>
            </w:tcBorders>
            <w:shd w:val="clear" w:color="auto" w:fill="auto"/>
            <w:vAlign w:val="center"/>
          </w:tcPr>
          <w:p w14:paraId="409AE081"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10A397C6"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Ivorian Crisis; started November 2010 through 2011; President Laurent Gbagbo captured and extradited to ICC; opposition candidate Alassane Ouattara took power after conflict throughout months of crisis </w:t>
            </w:r>
          </w:p>
        </w:tc>
      </w:tr>
      <w:tr w:rsidR="00CC477F" w:rsidRPr="00EE5852" w14:paraId="660ED89A" w14:textId="77777777" w:rsidTr="007D643C">
        <w:trPr>
          <w:trHeight w:val="288"/>
        </w:trPr>
        <w:tc>
          <w:tcPr>
            <w:tcW w:w="409" w:type="pct"/>
            <w:tcBorders>
              <w:top w:val="single" w:sz="4" w:space="0" w:color="auto"/>
              <w:bottom w:val="single" w:sz="4" w:space="0" w:color="auto"/>
            </w:tcBorders>
            <w:shd w:val="clear" w:color="auto" w:fill="auto"/>
            <w:vAlign w:val="center"/>
          </w:tcPr>
          <w:p w14:paraId="422E88F9"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0E498DCE"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Burkina Faso</w:t>
            </w:r>
          </w:p>
        </w:tc>
        <w:tc>
          <w:tcPr>
            <w:tcW w:w="459" w:type="pct"/>
            <w:tcBorders>
              <w:top w:val="single" w:sz="4" w:space="0" w:color="auto"/>
              <w:bottom w:val="single" w:sz="4" w:space="0" w:color="auto"/>
            </w:tcBorders>
            <w:shd w:val="clear" w:color="auto" w:fill="auto"/>
            <w:vAlign w:val="center"/>
            <w:hideMark/>
          </w:tcPr>
          <w:p w14:paraId="36D1C70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1987</w:t>
            </w:r>
          </w:p>
        </w:tc>
        <w:tc>
          <w:tcPr>
            <w:tcW w:w="429" w:type="pct"/>
            <w:tcBorders>
              <w:top w:val="single" w:sz="4" w:space="0" w:color="auto"/>
              <w:left w:val="nil"/>
              <w:bottom w:val="single" w:sz="4" w:space="0" w:color="auto"/>
              <w:right w:val="nil"/>
            </w:tcBorders>
            <w:shd w:val="clear" w:color="auto" w:fill="auto"/>
            <w:vAlign w:val="center"/>
          </w:tcPr>
          <w:p w14:paraId="28CDB51C"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76A9AAEA"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Burkinabe coup by Captain Blaise Compaore of President Captain Thomas Sankara; armed resistance; Agacher Strip War with Mali</w:t>
            </w:r>
          </w:p>
        </w:tc>
      </w:tr>
      <w:tr w:rsidR="00CC477F" w:rsidRPr="00EE5852" w14:paraId="582BD68C" w14:textId="77777777" w:rsidTr="007D643C">
        <w:trPr>
          <w:trHeight w:val="288"/>
        </w:trPr>
        <w:tc>
          <w:tcPr>
            <w:tcW w:w="409" w:type="pct"/>
            <w:tcBorders>
              <w:top w:val="single" w:sz="4" w:space="0" w:color="auto"/>
              <w:bottom w:val="single" w:sz="4" w:space="0" w:color="auto"/>
            </w:tcBorders>
            <w:shd w:val="clear" w:color="auto" w:fill="auto"/>
            <w:vAlign w:val="center"/>
          </w:tcPr>
          <w:p w14:paraId="6298870D"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1081E846"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Liberia</w:t>
            </w:r>
          </w:p>
        </w:tc>
        <w:tc>
          <w:tcPr>
            <w:tcW w:w="459" w:type="pct"/>
            <w:tcBorders>
              <w:top w:val="single" w:sz="4" w:space="0" w:color="auto"/>
              <w:bottom w:val="single" w:sz="4" w:space="0" w:color="auto"/>
            </w:tcBorders>
            <w:shd w:val="clear" w:color="auto" w:fill="auto"/>
            <w:vAlign w:val="center"/>
            <w:hideMark/>
          </w:tcPr>
          <w:p w14:paraId="62B88425"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2003</w:t>
            </w:r>
          </w:p>
        </w:tc>
        <w:tc>
          <w:tcPr>
            <w:tcW w:w="429" w:type="pct"/>
            <w:tcBorders>
              <w:top w:val="single" w:sz="4" w:space="0" w:color="auto"/>
              <w:left w:val="nil"/>
              <w:bottom w:val="single" w:sz="4" w:space="0" w:color="auto"/>
              <w:right w:val="nil"/>
            </w:tcBorders>
            <w:shd w:val="clear" w:color="auto" w:fill="auto"/>
            <w:vAlign w:val="center"/>
          </w:tcPr>
          <w:p w14:paraId="5BB25A8E"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6448CEA1" w14:textId="77777777" w:rsidR="00CC477F" w:rsidRPr="00EE5852" w:rsidRDefault="00CC477F" w:rsidP="007D643C">
            <w:pPr>
              <w:rPr>
                <w:rFonts w:ascii="Times New Roman" w:hAnsi="Times New Roman" w:cs="Times New Roman"/>
                <w:sz w:val="20"/>
                <w:szCs w:val="20"/>
              </w:rPr>
            </w:pPr>
            <w:r>
              <w:rPr>
                <w:rFonts w:ascii="Times New Roman" w:hAnsi="Times New Roman" w:cs="Times New Roman"/>
                <w:color w:val="000000"/>
                <w:sz w:val="20"/>
                <w:szCs w:val="20"/>
              </w:rPr>
              <w:t xml:space="preserve">Civil war leading to large movement of refugees; </w:t>
            </w:r>
            <w:r w:rsidRPr="00EE5852">
              <w:rPr>
                <w:rFonts w:ascii="Times New Roman" w:hAnsi="Times New Roman" w:cs="Times New Roman"/>
                <w:color w:val="000000"/>
                <w:sz w:val="20"/>
                <w:szCs w:val="20"/>
              </w:rPr>
              <w:t>UN banned exports of timber and diamonds</w:t>
            </w:r>
          </w:p>
        </w:tc>
      </w:tr>
      <w:tr w:rsidR="00CC477F" w:rsidRPr="00EE5852" w14:paraId="74BCF8E1" w14:textId="77777777" w:rsidTr="007D643C">
        <w:trPr>
          <w:trHeight w:val="288"/>
        </w:trPr>
        <w:tc>
          <w:tcPr>
            <w:tcW w:w="409" w:type="pct"/>
            <w:tcBorders>
              <w:top w:val="single" w:sz="4" w:space="0" w:color="auto"/>
              <w:bottom w:val="single" w:sz="4" w:space="0" w:color="auto"/>
            </w:tcBorders>
            <w:shd w:val="clear" w:color="auto" w:fill="auto"/>
            <w:vAlign w:val="center"/>
          </w:tcPr>
          <w:p w14:paraId="24D28D75"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3C8977C1"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Sierra Leone</w:t>
            </w:r>
          </w:p>
        </w:tc>
        <w:tc>
          <w:tcPr>
            <w:tcW w:w="459" w:type="pct"/>
            <w:tcBorders>
              <w:top w:val="single" w:sz="4" w:space="0" w:color="auto"/>
              <w:bottom w:val="single" w:sz="4" w:space="0" w:color="auto"/>
            </w:tcBorders>
            <w:shd w:val="clear" w:color="auto" w:fill="auto"/>
            <w:vAlign w:val="center"/>
            <w:hideMark/>
          </w:tcPr>
          <w:p w14:paraId="00C3EE13"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1992</w:t>
            </w:r>
          </w:p>
        </w:tc>
        <w:tc>
          <w:tcPr>
            <w:tcW w:w="429" w:type="pct"/>
            <w:tcBorders>
              <w:top w:val="single" w:sz="4" w:space="0" w:color="auto"/>
              <w:left w:val="nil"/>
              <w:bottom w:val="single" w:sz="4" w:space="0" w:color="auto"/>
              <w:right w:val="nil"/>
            </w:tcBorders>
            <w:shd w:val="clear" w:color="auto" w:fill="auto"/>
            <w:vAlign w:val="center"/>
          </w:tcPr>
          <w:p w14:paraId="779102E6"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1129340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1991 - Sierra Leone Civil War; 1992 coup by Captain Valentine Strasser overthrow</w:t>
            </w:r>
            <w:r>
              <w:rPr>
                <w:rFonts w:ascii="Times New Roman" w:hAnsi="Times New Roman" w:cs="Times New Roman"/>
                <w:color w:val="000000"/>
                <w:sz w:val="20"/>
                <w:szCs w:val="20"/>
              </w:rPr>
              <w:t>s</w:t>
            </w:r>
            <w:r w:rsidRPr="00EE5852">
              <w:rPr>
                <w:rFonts w:ascii="Times New Roman" w:hAnsi="Times New Roman" w:cs="Times New Roman"/>
                <w:color w:val="000000"/>
                <w:sz w:val="20"/>
                <w:szCs w:val="20"/>
              </w:rPr>
              <w:t xml:space="preserve"> President Joseph Saidu Momoh</w:t>
            </w:r>
          </w:p>
        </w:tc>
      </w:tr>
      <w:tr w:rsidR="00CC477F" w:rsidRPr="00EE5852" w14:paraId="4A546AB1" w14:textId="77777777" w:rsidTr="007D643C">
        <w:trPr>
          <w:trHeight w:val="288"/>
        </w:trPr>
        <w:tc>
          <w:tcPr>
            <w:tcW w:w="409" w:type="pct"/>
            <w:tcBorders>
              <w:top w:val="single" w:sz="4" w:space="0" w:color="auto"/>
              <w:bottom w:val="single" w:sz="4" w:space="0" w:color="auto"/>
            </w:tcBorders>
            <w:shd w:val="clear" w:color="auto" w:fill="auto"/>
            <w:vAlign w:val="center"/>
          </w:tcPr>
          <w:p w14:paraId="10A4CCDF"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1D5447A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Togo</w:t>
            </w:r>
          </w:p>
        </w:tc>
        <w:tc>
          <w:tcPr>
            <w:tcW w:w="459" w:type="pct"/>
            <w:tcBorders>
              <w:top w:val="single" w:sz="4" w:space="0" w:color="auto"/>
              <w:bottom w:val="single" w:sz="4" w:space="0" w:color="auto"/>
            </w:tcBorders>
            <w:shd w:val="clear" w:color="auto" w:fill="auto"/>
            <w:vAlign w:val="center"/>
            <w:hideMark/>
          </w:tcPr>
          <w:p w14:paraId="454E885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2006</w:t>
            </w:r>
          </w:p>
        </w:tc>
        <w:tc>
          <w:tcPr>
            <w:tcW w:w="429" w:type="pct"/>
            <w:tcBorders>
              <w:top w:val="single" w:sz="4" w:space="0" w:color="auto"/>
              <w:left w:val="nil"/>
              <w:bottom w:val="single" w:sz="4" w:space="0" w:color="auto"/>
              <w:right w:val="nil"/>
            </w:tcBorders>
            <w:shd w:val="clear" w:color="auto" w:fill="auto"/>
            <w:vAlign w:val="center"/>
          </w:tcPr>
          <w:p w14:paraId="70D08EC6"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0C022BB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2005 Togo protests and riots</w:t>
            </w:r>
            <w:r>
              <w:rPr>
                <w:rFonts w:ascii="Times New Roman" w:hAnsi="Times New Roman" w:cs="Times New Roman"/>
                <w:color w:val="000000"/>
                <w:sz w:val="20"/>
                <w:szCs w:val="20"/>
              </w:rPr>
              <w:t xml:space="preserve"> following presidential election</w:t>
            </w:r>
            <w:r w:rsidRPr="00EE5852">
              <w:rPr>
                <w:rFonts w:ascii="Times New Roman" w:hAnsi="Times New Roman" w:cs="Times New Roman"/>
                <w:color w:val="000000"/>
                <w:sz w:val="20"/>
                <w:szCs w:val="20"/>
              </w:rPr>
              <w:t xml:space="preserve">; military installed </w:t>
            </w:r>
            <w:r>
              <w:rPr>
                <w:rFonts w:ascii="Times New Roman" w:hAnsi="Times New Roman" w:cs="Times New Roman"/>
                <w:color w:val="000000"/>
                <w:sz w:val="20"/>
                <w:szCs w:val="20"/>
              </w:rPr>
              <w:t>President’s son after President’s death</w:t>
            </w:r>
          </w:p>
        </w:tc>
      </w:tr>
      <w:tr w:rsidR="00CC477F" w:rsidRPr="00EE5852" w14:paraId="6039202F" w14:textId="77777777" w:rsidTr="007D643C">
        <w:trPr>
          <w:trHeight w:val="288"/>
        </w:trPr>
        <w:tc>
          <w:tcPr>
            <w:tcW w:w="409" w:type="pct"/>
            <w:tcBorders>
              <w:top w:val="single" w:sz="4" w:space="0" w:color="auto"/>
              <w:bottom w:val="single" w:sz="4" w:space="0" w:color="auto"/>
            </w:tcBorders>
            <w:shd w:val="clear" w:color="auto" w:fill="auto"/>
            <w:vAlign w:val="center"/>
          </w:tcPr>
          <w:p w14:paraId="238DE643"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15C769A4"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Nigeria</w:t>
            </w:r>
          </w:p>
        </w:tc>
        <w:tc>
          <w:tcPr>
            <w:tcW w:w="459" w:type="pct"/>
            <w:tcBorders>
              <w:top w:val="single" w:sz="4" w:space="0" w:color="auto"/>
              <w:bottom w:val="single" w:sz="4" w:space="0" w:color="auto"/>
            </w:tcBorders>
            <w:shd w:val="clear" w:color="auto" w:fill="auto"/>
            <w:vAlign w:val="center"/>
            <w:hideMark/>
          </w:tcPr>
          <w:p w14:paraId="1E2C6F21"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196</w:t>
            </w:r>
            <w:r>
              <w:rPr>
                <w:rFonts w:ascii="Times New Roman" w:hAnsi="Times New Roman" w:cs="Times New Roman"/>
                <w:sz w:val="20"/>
                <w:szCs w:val="20"/>
              </w:rPr>
              <w:t>7</w:t>
            </w:r>
          </w:p>
        </w:tc>
        <w:tc>
          <w:tcPr>
            <w:tcW w:w="429" w:type="pct"/>
            <w:tcBorders>
              <w:top w:val="single" w:sz="4" w:space="0" w:color="auto"/>
              <w:left w:val="nil"/>
              <w:bottom w:val="single" w:sz="4" w:space="0" w:color="auto"/>
              <w:right w:val="nil"/>
            </w:tcBorders>
            <w:shd w:val="clear" w:color="auto" w:fill="auto"/>
            <w:vAlign w:val="center"/>
          </w:tcPr>
          <w:p w14:paraId="29B00175"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6034AF6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1966 Nigerian coup</w:t>
            </w:r>
            <w:r>
              <w:rPr>
                <w:rFonts w:ascii="Times New Roman" w:hAnsi="Times New Roman" w:cs="Times New Roman"/>
                <w:color w:val="000000"/>
                <w:sz w:val="20"/>
                <w:szCs w:val="20"/>
              </w:rPr>
              <w:t>; a</w:t>
            </w:r>
            <w:r w:rsidRPr="00EE5852">
              <w:rPr>
                <w:rFonts w:ascii="Times New Roman" w:hAnsi="Times New Roman" w:cs="Times New Roman"/>
                <w:color w:val="000000"/>
                <w:sz w:val="20"/>
                <w:szCs w:val="20"/>
              </w:rPr>
              <w:t xml:space="preserve">ssassination of senior leaders; General Officer of Nigerian Army then takes control countercoups and subsequent Nigerian Civil War </w:t>
            </w:r>
          </w:p>
        </w:tc>
      </w:tr>
      <w:tr w:rsidR="00CC477F" w:rsidRPr="00EE5852" w14:paraId="55452701" w14:textId="77777777" w:rsidTr="007D643C">
        <w:trPr>
          <w:trHeight w:val="288"/>
        </w:trPr>
        <w:tc>
          <w:tcPr>
            <w:tcW w:w="409" w:type="pct"/>
            <w:tcBorders>
              <w:top w:val="single" w:sz="4" w:space="0" w:color="auto"/>
              <w:bottom w:val="single" w:sz="4" w:space="0" w:color="auto"/>
            </w:tcBorders>
            <w:shd w:val="clear" w:color="auto" w:fill="auto"/>
            <w:vAlign w:val="center"/>
          </w:tcPr>
          <w:p w14:paraId="0A94A643"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03BAFD2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Central African Republic</w:t>
            </w:r>
          </w:p>
        </w:tc>
        <w:tc>
          <w:tcPr>
            <w:tcW w:w="459" w:type="pct"/>
            <w:tcBorders>
              <w:top w:val="single" w:sz="4" w:space="0" w:color="auto"/>
              <w:bottom w:val="single" w:sz="4" w:space="0" w:color="auto"/>
            </w:tcBorders>
            <w:shd w:val="clear" w:color="auto" w:fill="auto"/>
            <w:vAlign w:val="center"/>
            <w:hideMark/>
          </w:tcPr>
          <w:p w14:paraId="378DBBF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2013</w:t>
            </w:r>
          </w:p>
        </w:tc>
        <w:tc>
          <w:tcPr>
            <w:tcW w:w="429" w:type="pct"/>
            <w:tcBorders>
              <w:top w:val="single" w:sz="4" w:space="0" w:color="auto"/>
              <w:left w:val="nil"/>
              <w:bottom w:val="single" w:sz="4" w:space="0" w:color="auto"/>
              <w:right w:val="nil"/>
            </w:tcBorders>
            <w:shd w:val="clear" w:color="auto" w:fill="auto"/>
            <w:vAlign w:val="center"/>
          </w:tcPr>
          <w:p w14:paraId="53700E67"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0CE556F2" w14:textId="28FA25A3"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Central African Republic Civil War; started at the end of 2012 (December 2012); coalition of rebel groups took over territory and capital in 2013. </w:t>
            </w:r>
          </w:p>
        </w:tc>
      </w:tr>
      <w:tr w:rsidR="00CC477F" w:rsidRPr="00EE5852" w14:paraId="585A615B" w14:textId="77777777" w:rsidTr="007D643C">
        <w:trPr>
          <w:trHeight w:val="288"/>
        </w:trPr>
        <w:tc>
          <w:tcPr>
            <w:tcW w:w="409" w:type="pct"/>
            <w:tcBorders>
              <w:top w:val="single" w:sz="4" w:space="0" w:color="auto"/>
              <w:bottom w:val="single" w:sz="4" w:space="0" w:color="auto"/>
            </w:tcBorders>
            <w:shd w:val="clear" w:color="auto" w:fill="auto"/>
            <w:vAlign w:val="center"/>
          </w:tcPr>
          <w:p w14:paraId="58F627D4"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7662E161"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Chad</w:t>
            </w:r>
          </w:p>
        </w:tc>
        <w:tc>
          <w:tcPr>
            <w:tcW w:w="459" w:type="pct"/>
            <w:tcBorders>
              <w:top w:val="single" w:sz="4" w:space="0" w:color="auto"/>
              <w:bottom w:val="single" w:sz="4" w:space="0" w:color="auto"/>
            </w:tcBorders>
            <w:shd w:val="clear" w:color="auto" w:fill="auto"/>
            <w:vAlign w:val="center"/>
            <w:hideMark/>
          </w:tcPr>
          <w:p w14:paraId="4A6D3F9F"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1979</w:t>
            </w:r>
          </w:p>
        </w:tc>
        <w:tc>
          <w:tcPr>
            <w:tcW w:w="429" w:type="pct"/>
            <w:tcBorders>
              <w:top w:val="single" w:sz="4" w:space="0" w:color="auto"/>
              <w:left w:val="nil"/>
              <w:bottom w:val="single" w:sz="4" w:space="0" w:color="auto"/>
              <w:right w:val="nil"/>
            </w:tcBorders>
            <w:shd w:val="clear" w:color="auto" w:fill="auto"/>
            <w:vAlign w:val="center"/>
          </w:tcPr>
          <w:p w14:paraId="5C2E9A7D"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02E9A48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Chadian-Libyan conflict; began 1979; Libyan intervention into Chad</w:t>
            </w:r>
            <w:r>
              <w:rPr>
                <w:rFonts w:ascii="Times New Roman" w:hAnsi="Times New Roman" w:cs="Times New Roman"/>
                <w:color w:val="000000"/>
                <w:sz w:val="20"/>
                <w:szCs w:val="20"/>
              </w:rPr>
              <w:t xml:space="preserve">; </w:t>
            </w:r>
            <w:r w:rsidRPr="00EE5852">
              <w:rPr>
                <w:rFonts w:ascii="Times New Roman" w:hAnsi="Times New Roman" w:cs="Times New Roman"/>
                <w:color w:val="000000"/>
                <w:sz w:val="20"/>
                <w:szCs w:val="20"/>
              </w:rPr>
              <w:t>in conjunction with civil war</w:t>
            </w:r>
          </w:p>
        </w:tc>
      </w:tr>
      <w:tr w:rsidR="00CC477F" w:rsidRPr="00EE5852" w14:paraId="1FA868E0" w14:textId="77777777" w:rsidTr="007D643C">
        <w:trPr>
          <w:trHeight w:val="288"/>
        </w:trPr>
        <w:tc>
          <w:tcPr>
            <w:tcW w:w="409" w:type="pct"/>
            <w:tcBorders>
              <w:top w:val="single" w:sz="4" w:space="0" w:color="auto"/>
              <w:bottom w:val="single" w:sz="4" w:space="0" w:color="auto"/>
            </w:tcBorders>
            <w:shd w:val="clear" w:color="auto" w:fill="auto"/>
            <w:vAlign w:val="center"/>
          </w:tcPr>
          <w:p w14:paraId="1E55B961"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59B5762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Congo</w:t>
            </w:r>
          </w:p>
        </w:tc>
        <w:tc>
          <w:tcPr>
            <w:tcW w:w="459" w:type="pct"/>
            <w:tcBorders>
              <w:top w:val="single" w:sz="4" w:space="0" w:color="auto"/>
              <w:bottom w:val="single" w:sz="4" w:space="0" w:color="auto"/>
            </w:tcBorders>
            <w:shd w:val="clear" w:color="auto" w:fill="auto"/>
            <w:vAlign w:val="center"/>
            <w:hideMark/>
          </w:tcPr>
          <w:p w14:paraId="2181E386"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1995</w:t>
            </w:r>
          </w:p>
        </w:tc>
        <w:tc>
          <w:tcPr>
            <w:tcW w:w="429" w:type="pct"/>
            <w:tcBorders>
              <w:top w:val="single" w:sz="4" w:space="0" w:color="auto"/>
              <w:left w:val="nil"/>
              <w:bottom w:val="single" w:sz="4" w:space="0" w:color="auto"/>
              <w:right w:val="nil"/>
            </w:tcBorders>
            <w:shd w:val="clear" w:color="auto" w:fill="auto"/>
            <w:vAlign w:val="center"/>
          </w:tcPr>
          <w:p w14:paraId="0F02581C"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67FAE823"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 Republic of the Congo civil war;end</w:t>
            </w:r>
            <w:r>
              <w:rPr>
                <w:rFonts w:ascii="Times New Roman" w:hAnsi="Times New Roman" w:cs="Times New Roman"/>
                <w:color w:val="000000"/>
                <w:sz w:val="20"/>
                <w:szCs w:val="20"/>
              </w:rPr>
              <w:t xml:space="preserve">s in </w:t>
            </w:r>
            <w:r w:rsidRPr="00EE5852">
              <w:rPr>
                <w:rFonts w:ascii="Times New Roman" w:hAnsi="Times New Roman" w:cs="Times New Roman"/>
                <w:color w:val="000000"/>
                <w:sz w:val="20"/>
                <w:szCs w:val="20"/>
              </w:rPr>
              <w:t>December 1994; tens of thousands displaced during and following</w:t>
            </w:r>
          </w:p>
        </w:tc>
      </w:tr>
      <w:tr w:rsidR="00CC477F" w:rsidRPr="00EE5852" w14:paraId="417D2742" w14:textId="77777777" w:rsidTr="007D643C">
        <w:trPr>
          <w:trHeight w:val="288"/>
        </w:trPr>
        <w:tc>
          <w:tcPr>
            <w:tcW w:w="409" w:type="pct"/>
            <w:tcBorders>
              <w:top w:val="single" w:sz="4" w:space="0" w:color="auto"/>
              <w:bottom w:val="single" w:sz="4" w:space="0" w:color="auto"/>
            </w:tcBorders>
            <w:shd w:val="clear" w:color="auto" w:fill="auto"/>
            <w:vAlign w:val="center"/>
          </w:tcPr>
          <w:p w14:paraId="1ACC0AE8"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20CB1C3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DR Congo</w:t>
            </w:r>
          </w:p>
        </w:tc>
        <w:tc>
          <w:tcPr>
            <w:tcW w:w="459" w:type="pct"/>
            <w:tcBorders>
              <w:top w:val="single" w:sz="4" w:space="0" w:color="auto"/>
              <w:bottom w:val="single" w:sz="4" w:space="0" w:color="auto"/>
            </w:tcBorders>
            <w:shd w:val="clear" w:color="auto" w:fill="auto"/>
            <w:vAlign w:val="center"/>
            <w:hideMark/>
          </w:tcPr>
          <w:p w14:paraId="2B06D4E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1962</w:t>
            </w:r>
          </w:p>
        </w:tc>
        <w:tc>
          <w:tcPr>
            <w:tcW w:w="429" w:type="pct"/>
            <w:tcBorders>
              <w:top w:val="single" w:sz="4" w:space="0" w:color="auto"/>
              <w:left w:val="nil"/>
              <w:bottom w:val="single" w:sz="4" w:space="0" w:color="auto"/>
              <w:right w:val="nil"/>
            </w:tcBorders>
            <w:shd w:val="clear" w:color="auto" w:fill="auto"/>
            <w:vAlign w:val="center"/>
          </w:tcPr>
          <w:p w14:paraId="4021A696"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6600A314"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Congo Crisis; Prime Minister Patrice Lumumba executed in 1961; Soviet and UN involvement by 1962</w:t>
            </w:r>
          </w:p>
        </w:tc>
      </w:tr>
      <w:tr w:rsidR="00CC477F" w:rsidRPr="00EE5852" w14:paraId="26CB1B05" w14:textId="77777777" w:rsidTr="007D643C">
        <w:trPr>
          <w:trHeight w:val="288"/>
        </w:trPr>
        <w:tc>
          <w:tcPr>
            <w:tcW w:w="409" w:type="pct"/>
            <w:tcBorders>
              <w:top w:val="single" w:sz="4" w:space="0" w:color="auto"/>
              <w:bottom w:val="single" w:sz="4" w:space="0" w:color="auto"/>
            </w:tcBorders>
            <w:shd w:val="clear" w:color="auto" w:fill="auto"/>
            <w:vAlign w:val="center"/>
          </w:tcPr>
          <w:p w14:paraId="7957E584"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3C0CF14A"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Somalia</w:t>
            </w:r>
          </w:p>
        </w:tc>
        <w:tc>
          <w:tcPr>
            <w:tcW w:w="459" w:type="pct"/>
            <w:tcBorders>
              <w:top w:val="single" w:sz="4" w:space="0" w:color="auto"/>
              <w:bottom w:val="single" w:sz="4" w:space="0" w:color="auto"/>
            </w:tcBorders>
            <w:shd w:val="clear" w:color="auto" w:fill="auto"/>
            <w:vAlign w:val="center"/>
            <w:hideMark/>
          </w:tcPr>
          <w:p w14:paraId="579172EE"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1964</w:t>
            </w:r>
          </w:p>
        </w:tc>
        <w:tc>
          <w:tcPr>
            <w:tcW w:w="429" w:type="pct"/>
            <w:tcBorders>
              <w:top w:val="single" w:sz="4" w:space="0" w:color="auto"/>
              <w:left w:val="nil"/>
              <w:bottom w:val="single" w:sz="4" w:space="0" w:color="auto"/>
              <w:right w:val="nil"/>
            </w:tcBorders>
            <w:shd w:val="clear" w:color="auto" w:fill="auto"/>
            <w:vAlign w:val="center"/>
          </w:tcPr>
          <w:p w14:paraId="01F30682"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634D47DF"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1964 Ethiopian-Somali Border War</w:t>
            </w:r>
          </w:p>
        </w:tc>
      </w:tr>
      <w:tr w:rsidR="00CC477F" w:rsidRPr="00EE5852" w14:paraId="5C80C7D3" w14:textId="77777777" w:rsidTr="007D643C">
        <w:trPr>
          <w:trHeight w:val="288"/>
        </w:trPr>
        <w:tc>
          <w:tcPr>
            <w:tcW w:w="409" w:type="pct"/>
            <w:tcBorders>
              <w:top w:val="single" w:sz="4" w:space="0" w:color="auto"/>
              <w:bottom w:val="single" w:sz="4" w:space="0" w:color="auto"/>
            </w:tcBorders>
            <w:shd w:val="clear" w:color="auto" w:fill="auto"/>
            <w:vAlign w:val="center"/>
          </w:tcPr>
          <w:p w14:paraId="58D85399"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7E0C0B0A"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Ethiopia</w:t>
            </w:r>
          </w:p>
        </w:tc>
        <w:tc>
          <w:tcPr>
            <w:tcW w:w="459" w:type="pct"/>
            <w:tcBorders>
              <w:top w:val="single" w:sz="4" w:space="0" w:color="auto"/>
              <w:bottom w:val="single" w:sz="4" w:space="0" w:color="auto"/>
            </w:tcBorders>
            <w:shd w:val="clear" w:color="auto" w:fill="auto"/>
            <w:vAlign w:val="center"/>
            <w:hideMark/>
          </w:tcPr>
          <w:p w14:paraId="2F108581"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1983</w:t>
            </w:r>
          </w:p>
        </w:tc>
        <w:tc>
          <w:tcPr>
            <w:tcW w:w="429" w:type="pct"/>
            <w:tcBorders>
              <w:top w:val="single" w:sz="4" w:space="0" w:color="auto"/>
              <w:left w:val="nil"/>
              <w:bottom w:val="single" w:sz="4" w:space="0" w:color="auto"/>
              <w:right w:val="nil"/>
            </w:tcBorders>
            <w:shd w:val="clear" w:color="auto" w:fill="auto"/>
            <w:vAlign w:val="center"/>
          </w:tcPr>
          <w:p w14:paraId="27DE7DE8"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1D90F12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1982 Ethiopian-Somali Border War</w:t>
            </w:r>
          </w:p>
        </w:tc>
      </w:tr>
      <w:tr w:rsidR="00CC477F" w:rsidRPr="00EE5852" w14:paraId="2597697B" w14:textId="77777777" w:rsidTr="007D643C">
        <w:trPr>
          <w:trHeight w:val="288"/>
        </w:trPr>
        <w:tc>
          <w:tcPr>
            <w:tcW w:w="409" w:type="pct"/>
            <w:tcBorders>
              <w:top w:val="single" w:sz="4" w:space="0" w:color="auto"/>
              <w:bottom w:val="single" w:sz="4" w:space="0" w:color="auto"/>
            </w:tcBorders>
            <w:shd w:val="clear" w:color="auto" w:fill="auto"/>
            <w:vAlign w:val="center"/>
          </w:tcPr>
          <w:p w14:paraId="537ED540"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43C7CBCC"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Angola</w:t>
            </w:r>
          </w:p>
        </w:tc>
        <w:tc>
          <w:tcPr>
            <w:tcW w:w="459" w:type="pct"/>
            <w:tcBorders>
              <w:top w:val="single" w:sz="4" w:space="0" w:color="auto"/>
              <w:bottom w:val="single" w:sz="4" w:space="0" w:color="auto"/>
            </w:tcBorders>
            <w:shd w:val="clear" w:color="auto" w:fill="auto"/>
            <w:vAlign w:val="center"/>
            <w:hideMark/>
          </w:tcPr>
          <w:p w14:paraId="62E218E4"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1993</w:t>
            </w:r>
          </w:p>
        </w:tc>
        <w:tc>
          <w:tcPr>
            <w:tcW w:w="429" w:type="pct"/>
            <w:tcBorders>
              <w:top w:val="single" w:sz="4" w:space="0" w:color="auto"/>
              <w:left w:val="nil"/>
              <w:bottom w:val="single" w:sz="4" w:space="0" w:color="auto"/>
              <w:right w:val="nil"/>
            </w:tcBorders>
            <w:shd w:val="clear" w:color="auto" w:fill="auto"/>
            <w:vAlign w:val="center"/>
          </w:tcPr>
          <w:p w14:paraId="16E1BD1F" w14:textId="77777777" w:rsidR="00CC477F" w:rsidRPr="00EE5852" w:rsidRDefault="00CC477F" w:rsidP="007D643C">
            <w:pPr>
              <w:rPr>
                <w:rFonts w:ascii="Times New Roman" w:hAnsi="Times New Roman" w:cs="Times New Roman"/>
                <w:color w:val="000000"/>
                <w:sz w:val="20"/>
                <w:szCs w:val="20"/>
              </w:rPr>
            </w:pPr>
          </w:p>
        </w:tc>
        <w:tc>
          <w:tcPr>
            <w:tcW w:w="2798" w:type="pct"/>
            <w:tcBorders>
              <w:top w:val="single" w:sz="4" w:space="0" w:color="auto"/>
              <w:bottom w:val="single" w:sz="4" w:space="0" w:color="auto"/>
            </w:tcBorders>
            <w:shd w:val="clear" w:color="auto" w:fill="auto"/>
            <w:vAlign w:val="center"/>
          </w:tcPr>
          <w:p w14:paraId="6D20FD04"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1992 rekindled civil war after Jonas Savimbi multiparty election; 1993 saw massive change in the ongoing fighting as UNITA gained control over 70% of Angola</w:t>
            </w:r>
          </w:p>
        </w:tc>
      </w:tr>
      <w:tr w:rsidR="00CC477F" w:rsidRPr="00EE5852" w14:paraId="703959BC" w14:textId="77777777" w:rsidTr="007D643C">
        <w:trPr>
          <w:trHeight w:val="288"/>
        </w:trPr>
        <w:tc>
          <w:tcPr>
            <w:tcW w:w="409" w:type="pct"/>
            <w:tcBorders>
              <w:top w:val="single" w:sz="4" w:space="0" w:color="auto"/>
              <w:bottom w:val="single" w:sz="4" w:space="0" w:color="auto"/>
            </w:tcBorders>
            <w:shd w:val="clear" w:color="auto" w:fill="auto"/>
            <w:vAlign w:val="center"/>
          </w:tcPr>
          <w:p w14:paraId="3CB6643B"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3C300F63"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Mozambique</w:t>
            </w:r>
          </w:p>
        </w:tc>
        <w:tc>
          <w:tcPr>
            <w:tcW w:w="459" w:type="pct"/>
            <w:tcBorders>
              <w:top w:val="single" w:sz="4" w:space="0" w:color="auto"/>
              <w:bottom w:val="single" w:sz="4" w:space="0" w:color="auto"/>
            </w:tcBorders>
            <w:shd w:val="clear" w:color="auto" w:fill="auto"/>
            <w:vAlign w:val="center"/>
            <w:hideMark/>
          </w:tcPr>
          <w:p w14:paraId="1ACB2EA5"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1992</w:t>
            </w:r>
          </w:p>
        </w:tc>
        <w:tc>
          <w:tcPr>
            <w:tcW w:w="429" w:type="pct"/>
            <w:tcBorders>
              <w:top w:val="single" w:sz="4" w:space="0" w:color="auto"/>
              <w:left w:val="nil"/>
              <w:bottom w:val="single" w:sz="4" w:space="0" w:color="auto"/>
              <w:right w:val="nil"/>
            </w:tcBorders>
            <w:shd w:val="clear" w:color="auto" w:fill="auto"/>
            <w:vAlign w:val="center"/>
          </w:tcPr>
          <w:p w14:paraId="7FC93612"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652C5157"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Culmination of fighting</w:t>
            </w:r>
            <w:r>
              <w:rPr>
                <w:rFonts w:ascii="Times New Roman" w:hAnsi="Times New Roman" w:cs="Times New Roman"/>
                <w:color w:val="000000"/>
                <w:sz w:val="20"/>
                <w:szCs w:val="20"/>
              </w:rPr>
              <w:t xml:space="preserve"> in Civil War</w:t>
            </w:r>
          </w:p>
        </w:tc>
      </w:tr>
      <w:tr w:rsidR="00CC477F" w:rsidRPr="00EE5852" w14:paraId="5DDE190D" w14:textId="77777777" w:rsidTr="007D643C">
        <w:trPr>
          <w:trHeight w:val="288"/>
        </w:trPr>
        <w:tc>
          <w:tcPr>
            <w:tcW w:w="409" w:type="pct"/>
            <w:tcBorders>
              <w:top w:val="single" w:sz="4" w:space="0" w:color="auto"/>
              <w:bottom w:val="single" w:sz="4" w:space="0" w:color="auto"/>
            </w:tcBorders>
            <w:shd w:val="clear" w:color="auto" w:fill="auto"/>
            <w:vAlign w:val="center"/>
          </w:tcPr>
          <w:p w14:paraId="6334670C"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6C622AF9"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Mozambique</w:t>
            </w:r>
          </w:p>
        </w:tc>
        <w:tc>
          <w:tcPr>
            <w:tcW w:w="459" w:type="pct"/>
            <w:tcBorders>
              <w:top w:val="single" w:sz="4" w:space="0" w:color="auto"/>
              <w:bottom w:val="single" w:sz="4" w:space="0" w:color="auto"/>
            </w:tcBorders>
            <w:shd w:val="clear" w:color="auto" w:fill="auto"/>
            <w:vAlign w:val="center"/>
            <w:hideMark/>
          </w:tcPr>
          <w:p w14:paraId="0D1776B7"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2000</w:t>
            </w:r>
          </w:p>
        </w:tc>
        <w:tc>
          <w:tcPr>
            <w:tcW w:w="429" w:type="pct"/>
            <w:tcBorders>
              <w:top w:val="single" w:sz="4" w:space="0" w:color="auto"/>
              <w:left w:val="nil"/>
              <w:bottom w:val="single" w:sz="4" w:space="0" w:color="auto"/>
              <w:right w:val="nil"/>
            </w:tcBorders>
            <w:shd w:val="clear" w:color="auto" w:fill="auto"/>
            <w:vAlign w:val="center"/>
          </w:tcPr>
          <w:p w14:paraId="5831FF74"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1121EF18"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Natural disaster - Mozambique 2000 flood; worst flood in Mozambique's last 50 years</w:t>
            </w:r>
          </w:p>
        </w:tc>
      </w:tr>
      <w:tr w:rsidR="00CC477F" w:rsidRPr="00EE5852" w14:paraId="4CBDFB3E" w14:textId="77777777" w:rsidTr="007D643C">
        <w:trPr>
          <w:trHeight w:val="288"/>
        </w:trPr>
        <w:tc>
          <w:tcPr>
            <w:tcW w:w="409" w:type="pct"/>
            <w:tcBorders>
              <w:top w:val="single" w:sz="4" w:space="0" w:color="auto"/>
              <w:bottom w:val="single" w:sz="4" w:space="0" w:color="auto"/>
            </w:tcBorders>
            <w:shd w:val="clear" w:color="auto" w:fill="auto"/>
            <w:vAlign w:val="center"/>
          </w:tcPr>
          <w:p w14:paraId="2C73DD71"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74030A18"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South Africa</w:t>
            </w:r>
          </w:p>
        </w:tc>
        <w:tc>
          <w:tcPr>
            <w:tcW w:w="459" w:type="pct"/>
            <w:tcBorders>
              <w:top w:val="single" w:sz="4" w:space="0" w:color="auto"/>
              <w:bottom w:val="single" w:sz="4" w:space="0" w:color="auto"/>
            </w:tcBorders>
            <w:shd w:val="clear" w:color="auto" w:fill="auto"/>
            <w:vAlign w:val="center"/>
            <w:hideMark/>
          </w:tcPr>
          <w:p w14:paraId="33A736F3"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2009</w:t>
            </w:r>
          </w:p>
        </w:tc>
        <w:tc>
          <w:tcPr>
            <w:tcW w:w="429" w:type="pct"/>
            <w:tcBorders>
              <w:top w:val="single" w:sz="4" w:space="0" w:color="auto"/>
              <w:left w:val="nil"/>
              <w:bottom w:val="single" w:sz="4" w:space="0" w:color="auto"/>
              <w:right w:val="nil"/>
            </w:tcBorders>
            <w:shd w:val="clear" w:color="auto" w:fill="auto"/>
            <w:vAlign w:val="center"/>
          </w:tcPr>
          <w:p w14:paraId="30F3E869"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1827DFB6"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Global financial crisis (2008-2009); </w:t>
            </w:r>
          </w:p>
        </w:tc>
      </w:tr>
      <w:tr w:rsidR="00CC477F" w:rsidRPr="00EE5852" w14:paraId="3B1EB04F" w14:textId="77777777" w:rsidTr="007D643C">
        <w:trPr>
          <w:trHeight w:val="288"/>
        </w:trPr>
        <w:tc>
          <w:tcPr>
            <w:tcW w:w="409" w:type="pct"/>
            <w:tcBorders>
              <w:top w:val="single" w:sz="4" w:space="0" w:color="auto"/>
              <w:bottom w:val="single" w:sz="4" w:space="0" w:color="auto"/>
            </w:tcBorders>
            <w:shd w:val="clear" w:color="auto" w:fill="auto"/>
            <w:vAlign w:val="center"/>
          </w:tcPr>
          <w:p w14:paraId="2F5C6738"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06F0A630"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Comoros</w:t>
            </w:r>
          </w:p>
        </w:tc>
        <w:tc>
          <w:tcPr>
            <w:tcW w:w="459" w:type="pct"/>
            <w:tcBorders>
              <w:top w:val="single" w:sz="4" w:space="0" w:color="auto"/>
              <w:bottom w:val="single" w:sz="4" w:space="0" w:color="auto"/>
            </w:tcBorders>
            <w:shd w:val="clear" w:color="auto" w:fill="auto"/>
            <w:vAlign w:val="center"/>
            <w:hideMark/>
          </w:tcPr>
          <w:p w14:paraId="592446E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w:t>
            </w:r>
            <w:r>
              <w:rPr>
                <w:rFonts w:ascii="Times New Roman" w:hAnsi="Times New Roman" w:cs="Times New Roman"/>
                <w:sz w:val="20"/>
                <w:szCs w:val="20"/>
              </w:rPr>
              <w:t>90</w:t>
            </w:r>
          </w:p>
        </w:tc>
        <w:tc>
          <w:tcPr>
            <w:tcW w:w="429" w:type="pct"/>
            <w:tcBorders>
              <w:top w:val="single" w:sz="4" w:space="0" w:color="auto"/>
              <w:left w:val="nil"/>
              <w:bottom w:val="single" w:sz="4" w:space="0" w:color="auto"/>
              <w:right w:val="nil"/>
            </w:tcBorders>
            <w:shd w:val="clear" w:color="auto" w:fill="auto"/>
            <w:vAlign w:val="center"/>
          </w:tcPr>
          <w:p w14:paraId="5FC18A26"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1EDDB969"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Assassination of President Ahmed Abdallah</w:t>
            </w:r>
          </w:p>
        </w:tc>
      </w:tr>
      <w:tr w:rsidR="00CC477F" w:rsidRPr="00EE5852" w14:paraId="148BA005" w14:textId="77777777" w:rsidTr="007D643C">
        <w:trPr>
          <w:trHeight w:val="288"/>
        </w:trPr>
        <w:tc>
          <w:tcPr>
            <w:tcW w:w="409" w:type="pct"/>
            <w:tcBorders>
              <w:top w:val="single" w:sz="4" w:space="0" w:color="auto"/>
              <w:bottom w:val="single" w:sz="4" w:space="0" w:color="auto"/>
            </w:tcBorders>
            <w:shd w:val="clear" w:color="auto" w:fill="auto"/>
            <w:vAlign w:val="center"/>
          </w:tcPr>
          <w:p w14:paraId="235EA543"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00F6B7A9"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Tunisia</w:t>
            </w:r>
          </w:p>
        </w:tc>
        <w:tc>
          <w:tcPr>
            <w:tcW w:w="459" w:type="pct"/>
            <w:tcBorders>
              <w:top w:val="single" w:sz="4" w:space="0" w:color="auto"/>
              <w:bottom w:val="single" w:sz="4" w:space="0" w:color="auto"/>
            </w:tcBorders>
            <w:shd w:val="clear" w:color="auto" w:fill="auto"/>
            <w:vAlign w:val="center"/>
            <w:hideMark/>
          </w:tcPr>
          <w:p w14:paraId="13F08A57"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2011</w:t>
            </w:r>
          </w:p>
        </w:tc>
        <w:tc>
          <w:tcPr>
            <w:tcW w:w="429" w:type="pct"/>
            <w:tcBorders>
              <w:top w:val="single" w:sz="4" w:space="0" w:color="auto"/>
              <w:left w:val="nil"/>
              <w:bottom w:val="single" w:sz="4" w:space="0" w:color="auto"/>
              <w:right w:val="nil"/>
            </w:tcBorders>
            <w:shd w:val="clear" w:color="auto" w:fill="auto"/>
            <w:vAlign w:val="center"/>
          </w:tcPr>
          <w:p w14:paraId="0DF7EB13"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7B01F11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 Arab Spring; uprisings; removal of President Zine El Abidine Ben Ali</w:t>
            </w:r>
          </w:p>
        </w:tc>
      </w:tr>
      <w:tr w:rsidR="00CC477F" w:rsidRPr="00EE5852" w14:paraId="5D03FC57" w14:textId="77777777" w:rsidTr="007D643C">
        <w:trPr>
          <w:trHeight w:val="288"/>
        </w:trPr>
        <w:tc>
          <w:tcPr>
            <w:tcW w:w="409" w:type="pct"/>
            <w:tcBorders>
              <w:top w:val="single" w:sz="4" w:space="0" w:color="auto"/>
              <w:bottom w:val="single" w:sz="4" w:space="0" w:color="auto"/>
            </w:tcBorders>
            <w:shd w:val="clear" w:color="auto" w:fill="auto"/>
            <w:vAlign w:val="center"/>
          </w:tcPr>
          <w:p w14:paraId="4B869DC8"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065FE3D1"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Libya</w:t>
            </w:r>
          </w:p>
        </w:tc>
        <w:tc>
          <w:tcPr>
            <w:tcW w:w="459" w:type="pct"/>
            <w:tcBorders>
              <w:top w:val="single" w:sz="4" w:space="0" w:color="auto"/>
              <w:bottom w:val="single" w:sz="4" w:space="0" w:color="auto"/>
            </w:tcBorders>
            <w:shd w:val="clear" w:color="auto" w:fill="auto"/>
            <w:vAlign w:val="center"/>
            <w:hideMark/>
          </w:tcPr>
          <w:p w14:paraId="27B37A75"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201</w:t>
            </w:r>
            <w:r>
              <w:rPr>
                <w:rFonts w:ascii="Times New Roman" w:hAnsi="Times New Roman" w:cs="Times New Roman"/>
                <w:sz w:val="20"/>
                <w:szCs w:val="20"/>
              </w:rPr>
              <w:t>2</w:t>
            </w:r>
          </w:p>
        </w:tc>
        <w:tc>
          <w:tcPr>
            <w:tcW w:w="429" w:type="pct"/>
            <w:tcBorders>
              <w:top w:val="single" w:sz="4" w:space="0" w:color="auto"/>
              <w:left w:val="nil"/>
              <w:bottom w:val="single" w:sz="4" w:space="0" w:color="auto"/>
              <w:right w:val="nil"/>
            </w:tcBorders>
            <w:shd w:val="clear" w:color="auto" w:fill="auto"/>
            <w:vAlign w:val="center"/>
          </w:tcPr>
          <w:p w14:paraId="2B6D9074"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254B8397"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January 2011 - armed insurrection against Muammar Gaddafi's regime; Regime collapse; Gaddafi killed;  </w:t>
            </w:r>
          </w:p>
        </w:tc>
      </w:tr>
      <w:tr w:rsidR="00CC477F" w:rsidRPr="00EE5852" w14:paraId="12F9769C" w14:textId="77777777" w:rsidTr="007D643C">
        <w:trPr>
          <w:trHeight w:val="288"/>
        </w:trPr>
        <w:tc>
          <w:tcPr>
            <w:tcW w:w="409" w:type="pct"/>
            <w:tcBorders>
              <w:top w:val="single" w:sz="4" w:space="0" w:color="auto"/>
              <w:bottom w:val="single" w:sz="4" w:space="0" w:color="auto"/>
            </w:tcBorders>
            <w:shd w:val="clear" w:color="auto" w:fill="auto"/>
            <w:vAlign w:val="center"/>
          </w:tcPr>
          <w:p w14:paraId="7CF47031"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4880F8C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South Sudan</w:t>
            </w:r>
          </w:p>
        </w:tc>
        <w:tc>
          <w:tcPr>
            <w:tcW w:w="459" w:type="pct"/>
            <w:tcBorders>
              <w:top w:val="single" w:sz="4" w:space="0" w:color="auto"/>
              <w:bottom w:val="single" w:sz="4" w:space="0" w:color="auto"/>
            </w:tcBorders>
            <w:shd w:val="clear" w:color="auto" w:fill="auto"/>
            <w:vAlign w:val="center"/>
            <w:hideMark/>
          </w:tcPr>
          <w:p w14:paraId="16D55A4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201</w:t>
            </w:r>
            <w:r>
              <w:rPr>
                <w:rFonts w:ascii="Times New Roman" w:hAnsi="Times New Roman" w:cs="Times New Roman"/>
                <w:sz w:val="20"/>
                <w:szCs w:val="20"/>
              </w:rPr>
              <w:t>3</w:t>
            </w:r>
          </w:p>
        </w:tc>
        <w:tc>
          <w:tcPr>
            <w:tcW w:w="429" w:type="pct"/>
            <w:tcBorders>
              <w:top w:val="single" w:sz="4" w:space="0" w:color="auto"/>
              <w:left w:val="nil"/>
              <w:bottom w:val="single" w:sz="4" w:space="0" w:color="auto"/>
              <w:right w:val="nil"/>
            </w:tcBorders>
            <w:shd w:val="clear" w:color="auto" w:fill="auto"/>
            <w:vAlign w:val="center"/>
          </w:tcPr>
          <w:p w14:paraId="11F59ADC"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16429276"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Heglig Crisis; aerial bombardment, shelling, tanks by Sudanese Army/Air Force</w:t>
            </w:r>
          </w:p>
        </w:tc>
      </w:tr>
      <w:tr w:rsidR="00CC477F" w:rsidRPr="00EE5852" w14:paraId="644F5BE4" w14:textId="77777777" w:rsidTr="007D643C">
        <w:trPr>
          <w:trHeight w:val="288"/>
        </w:trPr>
        <w:tc>
          <w:tcPr>
            <w:tcW w:w="409" w:type="pct"/>
            <w:tcBorders>
              <w:top w:val="single" w:sz="4" w:space="0" w:color="auto"/>
              <w:bottom w:val="single" w:sz="4" w:space="0" w:color="auto"/>
            </w:tcBorders>
            <w:shd w:val="clear" w:color="auto" w:fill="auto"/>
            <w:vAlign w:val="center"/>
          </w:tcPr>
          <w:p w14:paraId="07480BED"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71FE40FC"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Turkey</w:t>
            </w:r>
          </w:p>
        </w:tc>
        <w:tc>
          <w:tcPr>
            <w:tcW w:w="459" w:type="pct"/>
            <w:tcBorders>
              <w:top w:val="single" w:sz="4" w:space="0" w:color="auto"/>
              <w:bottom w:val="single" w:sz="4" w:space="0" w:color="auto"/>
            </w:tcBorders>
            <w:shd w:val="clear" w:color="auto" w:fill="auto"/>
            <w:vAlign w:val="center"/>
            <w:hideMark/>
          </w:tcPr>
          <w:p w14:paraId="42100519"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1981</w:t>
            </w:r>
          </w:p>
        </w:tc>
        <w:tc>
          <w:tcPr>
            <w:tcW w:w="429" w:type="pct"/>
            <w:tcBorders>
              <w:top w:val="single" w:sz="4" w:space="0" w:color="auto"/>
              <w:left w:val="nil"/>
              <w:bottom w:val="single" w:sz="4" w:space="0" w:color="auto"/>
              <w:right w:val="nil"/>
            </w:tcBorders>
            <w:shd w:val="clear" w:color="auto" w:fill="auto"/>
            <w:vAlign w:val="center"/>
          </w:tcPr>
          <w:p w14:paraId="7BA06C2A"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54629087"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September 1980 Turkish coup of Chief of the General Staff Kenan Evren overthrowing 43rd government led by Suleyman Demirel; </w:t>
            </w:r>
          </w:p>
        </w:tc>
      </w:tr>
      <w:tr w:rsidR="00CC477F" w:rsidRPr="00EE5852" w14:paraId="493B6FC8" w14:textId="77777777" w:rsidTr="007D643C">
        <w:trPr>
          <w:trHeight w:val="288"/>
        </w:trPr>
        <w:tc>
          <w:tcPr>
            <w:tcW w:w="409" w:type="pct"/>
            <w:tcBorders>
              <w:top w:val="single" w:sz="4" w:space="0" w:color="auto"/>
              <w:bottom w:val="single" w:sz="4" w:space="0" w:color="auto"/>
            </w:tcBorders>
            <w:shd w:val="clear" w:color="auto" w:fill="auto"/>
            <w:vAlign w:val="center"/>
          </w:tcPr>
          <w:p w14:paraId="5385134B" w14:textId="77777777" w:rsidR="00CC477F" w:rsidRPr="00EE5852" w:rsidRDefault="00CC477F" w:rsidP="007D643C">
            <w:pPr>
              <w:rPr>
                <w:rFonts w:ascii="Times New Roman" w:hAnsi="Times New Roman" w:cs="Times New Roman"/>
                <w:color w:val="000000"/>
                <w:sz w:val="20"/>
                <w:szCs w:val="20"/>
              </w:rPr>
            </w:pPr>
          </w:p>
        </w:tc>
        <w:tc>
          <w:tcPr>
            <w:tcW w:w="905" w:type="pct"/>
            <w:tcBorders>
              <w:top w:val="single" w:sz="4" w:space="0" w:color="auto"/>
              <w:bottom w:val="single" w:sz="4" w:space="0" w:color="auto"/>
            </w:tcBorders>
            <w:shd w:val="clear" w:color="auto" w:fill="auto"/>
            <w:vAlign w:val="center"/>
          </w:tcPr>
          <w:p w14:paraId="3341F971"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Iraq</w:t>
            </w:r>
          </w:p>
        </w:tc>
        <w:tc>
          <w:tcPr>
            <w:tcW w:w="459" w:type="pct"/>
            <w:tcBorders>
              <w:top w:val="single" w:sz="4" w:space="0" w:color="auto"/>
              <w:bottom w:val="single" w:sz="4" w:space="0" w:color="auto"/>
            </w:tcBorders>
            <w:shd w:val="clear" w:color="auto" w:fill="auto"/>
            <w:vAlign w:val="center"/>
          </w:tcPr>
          <w:p w14:paraId="050B2BB0"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200</w:t>
            </w:r>
            <w:r>
              <w:rPr>
                <w:rFonts w:ascii="Times New Roman" w:hAnsi="Times New Roman" w:cs="Times New Roman"/>
                <w:sz w:val="20"/>
                <w:szCs w:val="20"/>
              </w:rPr>
              <w:t>4</w:t>
            </w:r>
          </w:p>
        </w:tc>
        <w:tc>
          <w:tcPr>
            <w:tcW w:w="429" w:type="pct"/>
            <w:tcBorders>
              <w:top w:val="single" w:sz="4" w:space="0" w:color="auto"/>
              <w:left w:val="nil"/>
              <w:bottom w:val="single" w:sz="4" w:space="0" w:color="auto"/>
              <w:right w:val="nil"/>
            </w:tcBorders>
            <w:shd w:val="clear" w:color="auto" w:fill="auto"/>
            <w:vAlign w:val="center"/>
          </w:tcPr>
          <w:p w14:paraId="1897A4EE" w14:textId="77777777" w:rsidR="00CC477F" w:rsidRPr="00EE5852" w:rsidRDefault="00CC477F" w:rsidP="007D643C">
            <w:pPr>
              <w:rPr>
                <w:rFonts w:ascii="Times New Roman" w:hAnsi="Times New Roman" w:cs="Times New Roman"/>
                <w:color w:val="000000"/>
                <w:sz w:val="20"/>
                <w:szCs w:val="20"/>
              </w:rPr>
            </w:pPr>
          </w:p>
        </w:tc>
        <w:tc>
          <w:tcPr>
            <w:tcW w:w="2798" w:type="pct"/>
            <w:tcBorders>
              <w:top w:val="single" w:sz="4" w:space="0" w:color="auto"/>
              <w:bottom w:val="single" w:sz="4" w:space="0" w:color="auto"/>
            </w:tcBorders>
            <w:shd w:val="clear" w:color="auto" w:fill="auto"/>
            <w:vAlign w:val="center"/>
          </w:tcPr>
          <w:p w14:paraId="0C9EF576" w14:textId="77777777" w:rsidR="00CC477F" w:rsidRPr="00EE5852" w:rsidRDefault="00CC477F" w:rsidP="007D643C">
            <w:pPr>
              <w:rPr>
                <w:rFonts w:ascii="Times New Roman" w:hAnsi="Times New Roman" w:cs="Times New Roman"/>
                <w:color w:val="000000"/>
                <w:sz w:val="20"/>
                <w:szCs w:val="20"/>
              </w:rPr>
            </w:pPr>
            <w:r w:rsidRPr="00EE5852">
              <w:rPr>
                <w:rFonts w:ascii="Times New Roman" w:hAnsi="Times New Roman" w:cs="Times New Roman"/>
                <w:color w:val="000000"/>
                <w:sz w:val="20"/>
                <w:szCs w:val="20"/>
              </w:rPr>
              <w:t xml:space="preserve">Foreign ouster of leadership by foreign forces; invasion of a country by foreign armed forces; 2003 Iraq War </w:t>
            </w:r>
          </w:p>
        </w:tc>
      </w:tr>
      <w:tr w:rsidR="00CC477F" w:rsidRPr="00EE5852" w14:paraId="1F83D57B" w14:textId="77777777" w:rsidTr="007D643C">
        <w:trPr>
          <w:trHeight w:val="288"/>
        </w:trPr>
        <w:tc>
          <w:tcPr>
            <w:tcW w:w="409" w:type="pct"/>
            <w:tcBorders>
              <w:top w:val="single" w:sz="4" w:space="0" w:color="auto"/>
              <w:bottom w:val="single" w:sz="4" w:space="0" w:color="auto"/>
            </w:tcBorders>
            <w:shd w:val="clear" w:color="auto" w:fill="auto"/>
            <w:vAlign w:val="center"/>
          </w:tcPr>
          <w:p w14:paraId="083C232D"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061E2ED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Egypt</w:t>
            </w:r>
          </w:p>
        </w:tc>
        <w:tc>
          <w:tcPr>
            <w:tcW w:w="459" w:type="pct"/>
            <w:tcBorders>
              <w:top w:val="single" w:sz="4" w:space="0" w:color="auto"/>
              <w:bottom w:val="single" w:sz="4" w:space="0" w:color="auto"/>
            </w:tcBorders>
            <w:shd w:val="clear" w:color="auto" w:fill="auto"/>
            <w:vAlign w:val="center"/>
            <w:hideMark/>
          </w:tcPr>
          <w:p w14:paraId="4EF6EDFA"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2011</w:t>
            </w:r>
          </w:p>
        </w:tc>
        <w:tc>
          <w:tcPr>
            <w:tcW w:w="429" w:type="pct"/>
            <w:tcBorders>
              <w:top w:val="single" w:sz="4" w:space="0" w:color="auto"/>
              <w:left w:val="nil"/>
              <w:bottom w:val="single" w:sz="4" w:space="0" w:color="auto"/>
              <w:right w:val="nil"/>
            </w:tcBorders>
            <w:shd w:val="clear" w:color="auto" w:fill="auto"/>
            <w:vAlign w:val="center"/>
          </w:tcPr>
          <w:p w14:paraId="721478CB"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166AEFF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January Revolution; President Hosni Mubarak resignation; suspension of constitution and dissolution of parliament </w:t>
            </w:r>
          </w:p>
        </w:tc>
      </w:tr>
      <w:tr w:rsidR="00CC477F" w:rsidRPr="00EE5852" w14:paraId="521622DF" w14:textId="77777777" w:rsidTr="007D643C">
        <w:trPr>
          <w:trHeight w:val="288"/>
        </w:trPr>
        <w:tc>
          <w:tcPr>
            <w:tcW w:w="409" w:type="pct"/>
            <w:tcBorders>
              <w:top w:val="single" w:sz="4" w:space="0" w:color="auto"/>
              <w:bottom w:val="single" w:sz="4" w:space="0" w:color="auto"/>
            </w:tcBorders>
            <w:shd w:val="clear" w:color="auto" w:fill="auto"/>
            <w:vAlign w:val="center"/>
          </w:tcPr>
          <w:p w14:paraId="1FA19CDD"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160B8136"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Syria</w:t>
            </w:r>
          </w:p>
        </w:tc>
        <w:tc>
          <w:tcPr>
            <w:tcW w:w="459" w:type="pct"/>
            <w:tcBorders>
              <w:top w:val="single" w:sz="4" w:space="0" w:color="auto"/>
              <w:bottom w:val="single" w:sz="4" w:space="0" w:color="auto"/>
            </w:tcBorders>
            <w:shd w:val="clear" w:color="auto" w:fill="auto"/>
            <w:vAlign w:val="center"/>
            <w:hideMark/>
          </w:tcPr>
          <w:p w14:paraId="5268AD90"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196</w:t>
            </w:r>
            <w:r>
              <w:rPr>
                <w:rFonts w:ascii="Times New Roman" w:hAnsi="Times New Roman" w:cs="Times New Roman"/>
                <w:sz w:val="20"/>
                <w:szCs w:val="20"/>
              </w:rPr>
              <w:t>3</w:t>
            </w:r>
          </w:p>
        </w:tc>
        <w:tc>
          <w:tcPr>
            <w:tcW w:w="429" w:type="pct"/>
            <w:tcBorders>
              <w:top w:val="single" w:sz="4" w:space="0" w:color="auto"/>
              <w:left w:val="nil"/>
              <w:bottom w:val="single" w:sz="4" w:space="0" w:color="auto"/>
              <w:right w:val="nil"/>
            </w:tcBorders>
            <w:shd w:val="clear" w:color="auto" w:fill="auto"/>
            <w:vAlign w:val="center"/>
          </w:tcPr>
          <w:p w14:paraId="14D748F4"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221671B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1961</w:t>
            </w:r>
            <w:r>
              <w:rPr>
                <w:rFonts w:ascii="Times New Roman" w:hAnsi="Times New Roman" w:cs="Times New Roman"/>
                <w:color w:val="000000"/>
                <w:sz w:val="20"/>
                <w:szCs w:val="20"/>
              </w:rPr>
              <w:t>-62</w:t>
            </w:r>
            <w:r w:rsidRPr="00EE5852">
              <w:rPr>
                <w:rFonts w:ascii="Times New Roman" w:hAnsi="Times New Roman" w:cs="Times New Roman"/>
                <w:color w:val="000000"/>
                <w:sz w:val="20"/>
                <w:szCs w:val="20"/>
              </w:rPr>
              <w:t xml:space="preserve"> Syrian coup by Syrian Army; breakup of the United Arab Republic; </w:t>
            </w:r>
          </w:p>
        </w:tc>
      </w:tr>
      <w:tr w:rsidR="00CC477F" w:rsidRPr="00EE5852" w14:paraId="6D73C34F" w14:textId="77777777" w:rsidTr="007D643C">
        <w:trPr>
          <w:trHeight w:val="288"/>
        </w:trPr>
        <w:tc>
          <w:tcPr>
            <w:tcW w:w="409" w:type="pct"/>
            <w:tcBorders>
              <w:top w:val="single" w:sz="4" w:space="0" w:color="auto"/>
              <w:bottom w:val="single" w:sz="4" w:space="0" w:color="auto"/>
            </w:tcBorders>
            <w:shd w:val="clear" w:color="auto" w:fill="auto"/>
            <w:vAlign w:val="center"/>
          </w:tcPr>
          <w:p w14:paraId="36449C3B"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012A4766"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Egypt</w:t>
            </w:r>
          </w:p>
        </w:tc>
        <w:tc>
          <w:tcPr>
            <w:tcW w:w="459" w:type="pct"/>
            <w:tcBorders>
              <w:top w:val="single" w:sz="4" w:space="0" w:color="auto"/>
              <w:bottom w:val="single" w:sz="4" w:space="0" w:color="auto"/>
            </w:tcBorders>
            <w:shd w:val="clear" w:color="auto" w:fill="auto"/>
            <w:vAlign w:val="center"/>
          </w:tcPr>
          <w:p w14:paraId="4E01BDD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1991</w:t>
            </w:r>
          </w:p>
        </w:tc>
        <w:tc>
          <w:tcPr>
            <w:tcW w:w="429" w:type="pct"/>
            <w:tcBorders>
              <w:top w:val="single" w:sz="4" w:space="0" w:color="auto"/>
              <w:left w:val="nil"/>
              <w:bottom w:val="single" w:sz="4" w:space="0" w:color="auto"/>
              <w:right w:val="nil"/>
            </w:tcBorders>
            <w:shd w:val="clear" w:color="auto" w:fill="auto"/>
            <w:vAlign w:val="center"/>
          </w:tcPr>
          <w:p w14:paraId="33DDAEC3"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5A864E39" w14:textId="77777777" w:rsidR="00CC477F" w:rsidRPr="00EE5852" w:rsidRDefault="00CC477F" w:rsidP="007D643C">
            <w:pPr>
              <w:rPr>
                <w:rFonts w:ascii="Times New Roman" w:hAnsi="Times New Roman" w:cs="Times New Roman"/>
                <w:sz w:val="20"/>
                <w:szCs w:val="20"/>
              </w:rPr>
            </w:pPr>
            <w:r>
              <w:rPr>
                <w:rFonts w:ascii="Times New Roman" w:hAnsi="Times New Roman" w:cs="Times New Roman"/>
                <w:color w:val="000000"/>
                <w:sz w:val="20"/>
                <w:szCs w:val="20"/>
              </w:rPr>
              <w:t>F</w:t>
            </w:r>
            <w:r w:rsidRPr="00EE5852">
              <w:rPr>
                <w:rFonts w:ascii="Times New Roman" w:hAnsi="Times New Roman" w:cs="Times New Roman"/>
                <w:color w:val="000000"/>
                <w:sz w:val="20"/>
                <w:szCs w:val="20"/>
              </w:rPr>
              <w:t>inancial/banking crisis in 1991</w:t>
            </w:r>
          </w:p>
        </w:tc>
      </w:tr>
      <w:tr w:rsidR="00CC477F" w:rsidRPr="00EE5852" w14:paraId="258AA95C" w14:textId="77777777" w:rsidTr="007D643C">
        <w:trPr>
          <w:trHeight w:val="288"/>
        </w:trPr>
        <w:tc>
          <w:tcPr>
            <w:tcW w:w="409" w:type="pct"/>
            <w:tcBorders>
              <w:top w:val="single" w:sz="4" w:space="0" w:color="auto"/>
              <w:bottom w:val="single" w:sz="4" w:space="0" w:color="auto"/>
            </w:tcBorders>
            <w:shd w:val="clear" w:color="auto" w:fill="auto"/>
            <w:vAlign w:val="center"/>
          </w:tcPr>
          <w:p w14:paraId="0D18AF67"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070DC615"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Lebanon</w:t>
            </w:r>
          </w:p>
        </w:tc>
        <w:tc>
          <w:tcPr>
            <w:tcW w:w="459" w:type="pct"/>
            <w:tcBorders>
              <w:top w:val="single" w:sz="4" w:space="0" w:color="auto"/>
              <w:bottom w:val="single" w:sz="4" w:space="0" w:color="auto"/>
            </w:tcBorders>
            <w:shd w:val="clear" w:color="auto" w:fill="auto"/>
            <w:vAlign w:val="center"/>
            <w:hideMark/>
          </w:tcPr>
          <w:p w14:paraId="3674C7EE"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1990</w:t>
            </w:r>
          </w:p>
        </w:tc>
        <w:tc>
          <w:tcPr>
            <w:tcW w:w="429" w:type="pct"/>
            <w:tcBorders>
              <w:top w:val="single" w:sz="4" w:space="0" w:color="auto"/>
              <w:left w:val="nil"/>
              <w:bottom w:val="single" w:sz="4" w:space="0" w:color="auto"/>
              <w:right w:val="nil"/>
            </w:tcBorders>
            <w:shd w:val="clear" w:color="auto" w:fill="auto"/>
            <w:vAlign w:val="center"/>
          </w:tcPr>
          <w:p w14:paraId="3926C70F"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1FAF5CDF"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1989 - Lebanese Civil War; rejection of new government by Lebanese Army; President Rene Moawad assassinated</w:t>
            </w:r>
          </w:p>
        </w:tc>
      </w:tr>
      <w:tr w:rsidR="00CC477F" w:rsidRPr="00EE5852" w14:paraId="0B365E3E" w14:textId="77777777" w:rsidTr="007D643C">
        <w:trPr>
          <w:trHeight w:val="288"/>
        </w:trPr>
        <w:tc>
          <w:tcPr>
            <w:tcW w:w="409" w:type="pct"/>
            <w:tcBorders>
              <w:top w:val="single" w:sz="4" w:space="0" w:color="auto"/>
              <w:bottom w:val="single" w:sz="4" w:space="0" w:color="auto"/>
            </w:tcBorders>
            <w:shd w:val="clear" w:color="auto" w:fill="auto"/>
            <w:vAlign w:val="center"/>
          </w:tcPr>
          <w:p w14:paraId="538FF9CD"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556EFCF8"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Israel</w:t>
            </w:r>
          </w:p>
        </w:tc>
        <w:tc>
          <w:tcPr>
            <w:tcW w:w="459" w:type="pct"/>
            <w:tcBorders>
              <w:top w:val="single" w:sz="4" w:space="0" w:color="auto"/>
              <w:bottom w:val="single" w:sz="4" w:space="0" w:color="auto"/>
            </w:tcBorders>
            <w:shd w:val="clear" w:color="auto" w:fill="auto"/>
            <w:vAlign w:val="center"/>
            <w:hideMark/>
          </w:tcPr>
          <w:p w14:paraId="1DEBAB95" w14:textId="77777777" w:rsidR="00CC477F" w:rsidRPr="00EE5852" w:rsidRDefault="00CC477F" w:rsidP="007D643C">
            <w:pPr>
              <w:rPr>
                <w:rFonts w:ascii="Times New Roman" w:hAnsi="Times New Roman" w:cs="Times New Roman"/>
                <w:sz w:val="20"/>
                <w:szCs w:val="20"/>
              </w:rPr>
            </w:pPr>
            <w:r>
              <w:rPr>
                <w:rFonts w:ascii="Times New Roman" w:hAnsi="Times New Roman" w:cs="Times New Roman"/>
                <w:sz w:val="20"/>
                <w:szCs w:val="20"/>
              </w:rPr>
              <w:t>1973</w:t>
            </w:r>
          </w:p>
        </w:tc>
        <w:tc>
          <w:tcPr>
            <w:tcW w:w="429" w:type="pct"/>
            <w:tcBorders>
              <w:top w:val="single" w:sz="4" w:space="0" w:color="auto"/>
              <w:left w:val="nil"/>
              <w:bottom w:val="single" w:sz="4" w:space="0" w:color="auto"/>
              <w:right w:val="nil"/>
            </w:tcBorders>
            <w:shd w:val="clear" w:color="auto" w:fill="auto"/>
            <w:vAlign w:val="center"/>
          </w:tcPr>
          <w:p w14:paraId="752245C6"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3EDBA42E" w14:textId="77777777" w:rsidR="00CC477F" w:rsidRPr="00EE5852" w:rsidRDefault="00CC477F" w:rsidP="007D643C">
            <w:pPr>
              <w:rPr>
                <w:rFonts w:ascii="Times New Roman" w:hAnsi="Times New Roman" w:cs="Times New Roman"/>
                <w:sz w:val="20"/>
                <w:szCs w:val="20"/>
              </w:rPr>
            </w:pPr>
            <w:r>
              <w:rPr>
                <w:rFonts w:ascii="Times New Roman" w:hAnsi="Times New Roman" w:cs="Times New Roman"/>
                <w:sz w:val="20"/>
                <w:szCs w:val="20"/>
              </w:rPr>
              <w:t>Yom Kippur War</w:t>
            </w:r>
          </w:p>
        </w:tc>
      </w:tr>
      <w:tr w:rsidR="00CC477F" w:rsidRPr="00EE5852" w14:paraId="2719C043" w14:textId="77777777" w:rsidTr="007D643C">
        <w:trPr>
          <w:trHeight w:val="288"/>
        </w:trPr>
        <w:tc>
          <w:tcPr>
            <w:tcW w:w="409" w:type="pct"/>
            <w:tcBorders>
              <w:top w:val="single" w:sz="4" w:space="0" w:color="auto"/>
              <w:bottom w:val="single" w:sz="4" w:space="0" w:color="auto"/>
            </w:tcBorders>
            <w:shd w:val="clear" w:color="auto" w:fill="auto"/>
            <w:vAlign w:val="center"/>
          </w:tcPr>
          <w:p w14:paraId="3FCA28B8"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4988FD86"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Saudi Arabia</w:t>
            </w:r>
          </w:p>
        </w:tc>
        <w:tc>
          <w:tcPr>
            <w:tcW w:w="459" w:type="pct"/>
            <w:tcBorders>
              <w:top w:val="single" w:sz="4" w:space="0" w:color="auto"/>
              <w:bottom w:val="single" w:sz="4" w:space="0" w:color="auto"/>
            </w:tcBorders>
            <w:shd w:val="clear" w:color="auto" w:fill="auto"/>
            <w:vAlign w:val="center"/>
          </w:tcPr>
          <w:p w14:paraId="2772DFF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1975</w:t>
            </w:r>
          </w:p>
        </w:tc>
        <w:tc>
          <w:tcPr>
            <w:tcW w:w="429" w:type="pct"/>
            <w:tcBorders>
              <w:top w:val="single" w:sz="4" w:space="0" w:color="auto"/>
              <w:left w:val="nil"/>
              <w:bottom w:val="single" w:sz="4" w:space="0" w:color="auto"/>
              <w:right w:val="nil"/>
            </w:tcBorders>
            <w:shd w:val="clear" w:color="auto" w:fill="auto"/>
            <w:vAlign w:val="center"/>
          </w:tcPr>
          <w:p w14:paraId="7D07AC5F"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2A6CB2F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March 1975 - King Faisal bin Abdulaziz Al Saud assassinated </w:t>
            </w:r>
          </w:p>
        </w:tc>
      </w:tr>
      <w:tr w:rsidR="00CC477F" w:rsidRPr="00EE5852" w14:paraId="6ECE4AA5" w14:textId="77777777" w:rsidTr="007D643C">
        <w:trPr>
          <w:trHeight w:val="288"/>
        </w:trPr>
        <w:tc>
          <w:tcPr>
            <w:tcW w:w="409" w:type="pct"/>
            <w:tcBorders>
              <w:top w:val="single" w:sz="4" w:space="0" w:color="auto"/>
              <w:bottom w:val="single" w:sz="4" w:space="0" w:color="auto"/>
            </w:tcBorders>
            <w:shd w:val="clear" w:color="auto" w:fill="auto"/>
            <w:vAlign w:val="center"/>
          </w:tcPr>
          <w:p w14:paraId="21F195B8"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4C098358"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Yemen</w:t>
            </w:r>
          </w:p>
        </w:tc>
        <w:tc>
          <w:tcPr>
            <w:tcW w:w="459" w:type="pct"/>
            <w:tcBorders>
              <w:top w:val="single" w:sz="4" w:space="0" w:color="auto"/>
              <w:bottom w:val="single" w:sz="4" w:space="0" w:color="auto"/>
            </w:tcBorders>
            <w:shd w:val="clear" w:color="auto" w:fill="auto"/>
            <w:vAlign w:val="center"/>
            <w:hideMark/>
          </w:tcPr>
          <w:p w14:paraId="24009618"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2015</w:t>
            </w:r>
          </w:p>
        </w:tc>
        <w:tc>
          <w:tcPr>
            <w:tcW w:w="429" w:type="pct"/>
            <w:tcBorders>
              <w:top w:val="single" w:sz="4" w:space="0" w:color="auto"/>
              <w:left w:val="nil"/>
              <w:bottom w:val="single" w:sz="4" w:space="0" w:color="auto"/>
              <w:right w:val="nil"/>
            </w:tcBorders>
            <w:shd w:val="clear" w:color="auto" w:fill="auto"/>
            <w:vAlign w:val="center"/>
          </w:tcPr>
          <w:p w14:paraId="458AE95D"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7D277C08"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Yemen Civil War (2014-ongoing); ouster of leadership by rebel forces; 2015 overthrow of Abdrabbuh Mansur Hadi</w:t>
            </w:r>
          </w:p>
        </w:tc>
      </w:tr>
      <w:tr w:rsidR="00CC477F" w:rsidRPr="00EE5852" w14:paraId="0798F440" w14:textId="77777777" w:rsidTr="007D643C">
        <w:trPr>
          <w:trHeight w:val="288"/>
        </w:trPr>
        <w:tc>
          <w:tcPr>
            <w:tcW w:w="409" w:type="pct"/>
            <w:tcBorders>
              <w:top w:val="single" w:sz="4" w:space="0" w:color="auto"/>
              <w:bottom w:val="single" w:sz="4" w:space="0" w:color="auto"/>
            </w:tcBorders>
            <w:shd w:val="clear" w:color="auto" w:fill="auto"/>
            <w:vAlign w:val="center"/>
          </w:tcPr>
          <w:p w14:paraId="7B129300"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129E58F8"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Yemen</w:t>
            </w:r>
          </w:p>
        </w:tc>
        <w:tc>
          <w:tcPr>
            <w:tcW w:w="459" w:type="pct"/>
            <w:tcBorders>
              <w:top w:val="single" w:sz="4" w:space="0" w:color="auto"/>
              <w:bottom w:val="single" w:sz="4" w:space="0" w:color="auto"/>
            </w:tcBorders>
            <w:shd w:val="clear" w:color="auto" w:fill="auto"/>
            <w:vAlign w:val="center"/>
            <w:hideMark/>
          </w:tcPr>
          <w:p w14:paraId="5FC7E035"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2011</w:t>
            </w:r>
          </w:p>
        </w:tc>
        <w:tc>
          <w:tcPr>
            <w:tcW w:w="429" w:type="pct"/>
            <w:tcBorders>
              <w:top w:val="single" w:sz="4" w:space="0" w:color="auto"/>
              <w:left w:val="nil"/>
              <w:bottom w:val="single" w:sz="4" w:space="0" w:color="auto"/>
              <w:right w:val="nil"/>
            </w:tcBorders>
            <w:shd w:val="clear" w:color="auto" w:fill="auto"/>
            <w:vAlign w:val="center"/>
          </w:tcPr>
          <w:p w14:paraId="11F1415A"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6F64C2FA"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Arab Spring</w:t>
            </w:r>
            <w:r>
              <w:rPr>
                <w:rFonts w:ascii="Times New Roman" w:hAnsi="Times New Roman" w:cs="Times New Roman"/>
                <w:color w:val="000000"/>
                <w:sz w:val="20"/>
                <w:szCs w:val="20"/>
              </w:rPr>
              <w:t xml:space="preserve"> </w:t>
            </w:r>
            <w:r w:rsidRPr="00EE5852">
              <w:rPr>
                <w:rFonts w:ascii="Times New Roman" w:hAnsi="Times New Roman" w:cs="Times New Roman"/>
                <w:color w:val="000000"/>
                <w:sz w:val="20"/>
                <w:szCs w:val="20"/>
              </w:rPr>
              <w:t xml:space="preserve">protests; uprisings; </w:t>
            </w:r>
          </w:p>
        </w:tc>
      </w:tr>
      <w:tr w:rsidR="00CC477F" w:rsidRPr="00EE5852" w14:paraId="6AFE3E49" w14:textId="77777777" w:rsidTr="007D643C">
        <w:trPr>
          <w:trHeight w:val="288"/>
        </w:trPr>
        <w:tc>
          <w:tcPr>
            <w:tcW w:w="409" w:type="pct"/>
            <w:tcBorders>
              <w:top w:val="single" w:sz="4" w:space="0" w:color="auto"/>
              <w:bottom w:val="single" w:sz="4" w:space="0" w:color="auto"/>
            </w:tcBorders>
            <w:shd w:val="clear" w:color="auto" w:fill="auto"/>
            <w:vAlign w:val="center"/>
          </w:tcPr>
          <w:p w14:paraId="11DEDF72"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2E2EC1A0"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Tajikistan</w:t>
            </w:r>
          </w:p>
        </w:tc>
        <w:tc>
          <w:tcPr>
            <w:tcW w:w="459" w:type="pct"/>
            <w:tcBorders>
              <w:top w:val="single" w:sz="4" w:space="0" w:color="auto"/>
              <w:bottom w:val="single" w:sz="4" w:space="0" w:color="auto"/>
            </w:tcBorders>
            <w:shd w:val="clear" w:color="auto" w:fill="auto"/>
            <w:vAlign w:val="center"/>
            <w:hideMark/>
          </w:tcPr>
          <w:p w14:paraId="52C6ED37"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1992</w:t>
            </w:r>
          </w:p>
        </w:tc>
        <w:tc>
          <w:tcPr>
            <w:tcW w:w="429" w:type="pct"/>
            <w:tcBorders>
              <w:top w:val="single" w:sz="4" w:space="0" w:color="auto"/>
              <w:left w:val="nil"/>
              <w:bottom w:val="single" w:sz="4" w:space="0" w:color="auto"/>
              <w:right w:val="nil"/>
            </w:tcBorders>
            <w:shd w:val="clear" w:color="auto" w:fill="auto"/>
            <w:vAlign w:val="center"/>
          </w:tcPr>
          <w:p w14:paraId="34874BDF"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45766B46"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Tajikistani Civil War begins 1992; President Rahmon Nabiyev ousted; Safarali Kendzhayev Communist speaker of parliament ousted; coups and countercoups during 1992 </w:t>
            </w:r>
          </w:p>
        </w:tc>
      </w:tr>
      <w:tr w:rsidR="00CC477F" w:rsidRPr="00EE5852" w14:paraId="50E48CE1" w14:textId="77777777" w:rsidTr="007D643C">
        <w:trPr>
          <w:trHeight w:val="288"/>
        </w:trPr>
        <w:tc>
          <w:tcPr>
            <w:tcW w:w="409" w:type="pct"/>
            <w:tcBorders>
              <w:top w:val="single" w:sz="4" w:space="0" w:color="auto"/>
              <w:bottom w:val="single" w:sz="4" w:space="0" w:color="auto"/>
            </w:tcBorders>
            <w:shd w:val="clear" w:color="auto" w:fill="auto"/>
            <w:vAlign w:val="center"/>
          </w:tcPr>
          <w:p w14:paraId="36A858E7"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73675C6C"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China</w:t>
            </w:r>
          </w:p>
        </w:tc>
        <w:tc>
          <w:tcPr>
            <w:tcW w:w="459" w:type="pct"/>
            <w:tcBorders>
              <w:top w:val="single" w:sz="4" w:space="0" w:color="auto"/>
              <w:bottom w:val="single" w:sz="4" w:space="0" w:color="auto"/>
            </w:tcBorders>
            <w:shd w:val="clear" w:color="auto" w:fill="auto"/>
            <w:vAlign w:val="center"/>
            <w:hideMark/>
          </w:tcPr>
          <w:p w14:paraId="5F519883"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w:t>
            </w:r>
            <w:r>
              <w:rPr>
                <w:rFonts w:ascii="Times New Roman" w:hAnsi="Times New Roman" w:cs="Times New Roman"/>
                <w:sz w:val="20"/>
                <w:szCs w:val="20"/>
              </w:rPr>
              <w:t>67</w:t>
            </w:r>
          </w:p>
        </w:tc>
        <w:tc>
          <w:tcPr>
            <w:tcW w:w="429" w:type="pct"/>
            <w:tcBorders>
              <w:top w:val="single" w:sz="4" w:space="0" w:color="auto"/>
              <w:left w:val="nil"/>
              <w:bottom w:val="single" w:sz="4" w:space="0" w:color="auto"/>
              <w:right w:val="nil"/>
            </w:tcBorders>
            <w:shd w:val="clear" w:color="auto" w:fill="auto"/>
            <w:vAlign w:val="center"/>
          </w:tcPr>
          <w:p w14:paraId="5854CE67"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487F2613" w14:textId="77777777" w:rsidR="00CC477F" w:rsidRPr="00EE5852" w:rsidRDefault="00CC477F" w:rsidP="007D643C">
            <w:pPr>
              <w:rPr>
                <w:rFonts w:ascii="Times New Roman" w:hAnsi="Times New Roman" w:cs="Times New Roman"/>
                <w:sz w:val="20"/>
                <w:szCs w:val="20"/>
              </w:rPr>
            </w:pPr>
            <w:r>
              <w:rPr>
                <w:rFonts w:ascii="Times New Roman" w:hAnsi="Times New Roman" w:cs="Times New Roman"/>
                <w:sz w:val="20"/>
                <w:szCs w:val="20"/>
              </w:rPr>
              <w:t>Cultural Revolution</w:t>
            </w:r>
          </w:p>
        </w:tc>
      </w:tr>
      <w:tr w:rsidR="00CC477F" w:rsidRPr="00EE5852" w14:paraId="6BE1E406" w14:textId="77777777" w:rsidTr="007D643C">
        <w:trPr>
          <w:trHeight w:val="288"/>
        </w:trPr>
        <w:tc>
          <w:tcPr>
            <w:tcW w:w="409" w:type="pct"/>
            <w:tcBorders>
              <w:top w:val="single" w:sz="4" w:space="0" w:color="auto"/>
              <w:bottom w:val="single" w:sz="4" w:space="0" w:color="auto"/>
            </w:tcBorders>
            <w:shd w:val="clear" w:color="auto" w:fill="auto"/>
            <w:vAlign w:val="center"/>
          </w:tcPr>
          <w:p w14:paraId="6AFD75BE"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189AEA58"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South Korea</w:t>
            </w:r>
          </w:p>
        </w:tc>
        <w:tc>
          <w:tcPr>
            <w:tcW w:w="459" w:type="pct"/>
            <w:tcBorders>
              <w:top w:val="single" w:sz="4" w:space="0" w:color="auto"/>
              <w:bottom w:val="single" w:sz="4" w:space="0" w:color="auto"/>
            </w:tcBorders>
            <w:shd w:val="clear" w:color="auto" w:fill="auto"/>
            <w:vAlign w:val="center"/>
            <w:hideMark/>
          </w:tcPr>
          <w:p w14:paraId="0A1CF03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1980</w:t>
            </w:r>
          </w:p>
        </w:tc>
        <w:tc>
          <w:tcPr>
            <w:tcW w:w="429" w:type="pct"/>
            <w:tcBorders>
              <w:top w:val="single" w:sz="4" w:space="0" w:color="auto"/>
              <w:left w:val="nil"/>
              <w:bottom w:val="single" w:sz="4" w:space="0" w:color="auto"/>
              <w:right w:val="nil"/>
            </w:tcBorders>
            <w:shd w:val="clear" w:color="auto" w:fill="auto"/>
            <w:vAlign w:val="center"/>
          </w:tcPr>
          <w:p w14:paraId="13390577"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0D936DA4"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1979 Assassination of President Park Chung Hee; Coup December 1979 following elections </w:t>
            </w:r>
          </w:p>
        </w:tc>
      </w:tr>
      <w:tr w:rsidR="00CC477F" w:rsidRPr="00EE5852" w14:paraId="4C22C90A" w14:textId="77777777" w:rsidTr="007D643C">
        <w:trPr>
          <w:trHeight w:val="288"/>
        </w:trPr>
        <w:tc>
          <w:tcPr>
            <w:tcW w:w="409" w:type="pct"/>
            <w:tcBorders>
              <w:top w:val="single" w:sz="4" w:space="0" w:color="auto"/>
              <w:bottom w:val="single" w:sz="4" w:space="0" w:color="auto"/>
            </w:tcBorders>
            <w:shd w:val="clear" w:color="auto" w:fill="auto"/>
            <w:vAlign w:val="center"/>
          </w:tcPr>
          <w:p w14:paraId="53F5A3E7"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119DBA26"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South Korea</w:t>
            </w:r>
          </w:p>
        </w:tc>
        <w:tc>
          <w:tcPr>
            <w:tcW w:w="459" w:type="pct"/>
            <w:tcBorders>
              <w:top w:val="single" w:sz="4" w:space="0" w:color="auto"/>
              <w:bottom w:val="single" w:sz="4" w:space="0" w:color="auto"/>
            </w:tcBorders>
            <w:shd w:val="clear" w:color="auto" w:fill="auto"/>
            <w:vAlign w:val="center"/>
            <w:hideMark/>
          </w:tcPr>
          <w:p w14:paraId="6AFB067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1998</w:t>
            </w:r>
          </w:p>
        </w:tc>
        <w:tc>
          <w:tcPr>
            <w:tcW w:w="429" w:type="pct"/>
            <w:tcBorders>
              <w:top w:val="single" w:sz="4" w:space="0" w:color="auto"/>
              <w:left w:val="nil"/>
              <w:bottom w:val="single" w:sz="4" w:space="0" w:color="auto"/>
              <w:right w:val="nil"/>
            </w:tcBorders>
            <w:shd w:val="clear" w:color="auto" w:fill="auto"/>
            <w:vAlign w:val="center"/>
          </w:tcPr>
          <w:p w14:paraId="3B34DC93"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75FED448"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Asian Financial Crisis</w:t>
            </w:r>
          </w:p>
        </w:tc>
      </w:tr>
      <w:tr w:rsidR="00CC477F" w:rsidRPr="00EE5852" w14:paraId="3AD08E6E" w14:textId="77777777" w:rsidTr="007D643C">
        <w:trPr>
          <w:trHeight w:val="288"/>
        </w:trPr>
        <w:tc>
          <w:tcPr>
            <w:tcW w:w="409" w:type="pct"/>
            <w:tcBorders>
              <w:top w:val="single" w:sz="4" w:space="0" w:color="auto"/>
              <w:bottom w:val="single" w:sz="4" w:space="0" w:color="auto"/>
            </w:tcBorders>
            <w:shd w:val="clear" w:color="auto" w:fill="auto"/>
            <w:vAlign w:val="center"/>
          </w:tcPr>
          <w:p w14:paraId="6D875A46"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7C9F20DE"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Pakistan</w:t>
            </w:r>
          </w:p>
        </w:tc>
        <w:tc>
          <w:tcPr>
            <w:tcW w:w="459" w:type="pct"/>
            <w:tcBorders>
              <w:top w:val="single" w:sz="4" w:space="0" w:color="auto"/>
              <w:bottom w:val="single" w:sz="4" w:space="0" w:color="auto"/>
            </w:tcBorders>
            <w:shd w:val="clear" w:color="auto" w:fill="auto"/>
            <w:vAlign w:val="center"/>
            <w:hideMark/>
          </w:tcPr>
          <w:p w14:paraId="7FBCE526"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197</w:t>
            </w:r>
            <w:r>
              <w:rPr>
                <w:rFonts w:ascii="Times New Roman" w:hAnsi="Times New Roman" w:cs="Times New Roman"/>
                <w:sz w:val="20"/>
                <w:szCs w:val="20"/>
              </w:rPr>
              <w:t>9</w:t>
            </w:r>
          </w:p>
        </w:tc>
        <w:tc>
          <w:tcPr>
            <w:tcW w:w="429" w:type="pct"/>
            <w:tcBorders>
              <w:top w:val="single" w:sz="4" w:space="0" w:color="auto"/>
              <w:left w:val="nil"/>
              <w:bottom w:val="single" w:sz="4" w:space="0" w:color="auto"/>
              <w:right w:val="nil"/>
            </w:tcBorders>
            <w:shd w:val="clear" w:color="auto" w:fill="auto"/>
            <w:vAlign w:val="center"/>
          </w:tcPr>
          <w:p w14:paraId="0CAFD06E"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4FDBB58C"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 xml:space="preserve">Democratic government overthrown in military coup as political violence escalates due to elections. General </w:t>
            </w:r>
            <w:r w:rsidRPr="00EE5852">
              <w:rPr>
                <w:rFonts w:ascii="Times New Roman" w:hAnsi="Times New Roman" w:cs="Times New Roman"/>
                <w:sz w:val="20"/>
                <w:szCs w:val="20"/>
              </w:rPr>
              <w:lastRenderedPageBreak/>
              <w:t>Muhammad Zia-ul-Haq dissolves the legislature, declares martial law (total polity change of -15)</w:t>
            </w:r>
          </w:p>
        </w:tc>
      </w:tr>
      <w:tr w:rsidR="00CC477F" w:rsidRPr="00EE5852" w14:paraId="2AFB077D" w14:textId="77777777" w:rsidTr="007D643C">
        <w:trPr>
          <w:trHeight w:val="288"/>
        </w:trPr>
        <w:tc>
          <w:tcPr>
            <w:tcW w:w="409" w:type="pct"/>
            <w:tcBorders>
              <w:top w:val="single" w:sz="4" w:space="0" w:color="auto"/>
              <w:bottom w:val="single" w:sz="4" w:space="0" w:color="auto"/>
            </w:tcBorders>
            <w:shd w:val="clear" w:color="auto" w:fill="auto"/>
            <w:vAlign w:val="center"/>
          </w:tcPr>
          <w:p w14:paraId="6DF4F23E"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68FE1E05"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Myanmar</w:t>
            </w:r>
          </w:p>
        </w:tc>
        <w:tc>
          <w:tcPr>
            <w:tcW w:w="459" w:type="pct"/>
            <w:tcBorders>
              <w:top w:val="single" w:sz="4" w:space="0" w:color="auto"/>
              <w:bottom w:val="single" w:sz="4" w:space="0" w:color="auto"/>
            </w:tcBorders>
            <w:shd w:val="clear" w:color="auto" w:fill="auto"/>
            <w:vAlign w:val="center"/>
          </w:tcPr>
          <w:p w14:paraId="77D29C6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1963</w:t>
            </w:r>
          </w:p>
        </w:tc>
        <w:tc>
          <w:tcPr>
            <w:tcW w:w="429" w:type="pct"/>
            <w:tcBorders>
              <w:top w:val="single" w:sz="4" w:space="0" w:color="auto"/>
              <w:left w:val="nil"/>
              <w:bottom w:val="single" w:sz="4" w:space="0" w:color="auto"/>
              <w:right w:val="nil"/>
            </w:tcBorders>
            <w:shd w:val="clear" w:color="auto" w:fill="auto"/>
            <w:vAlign w:val="center"/>
          </w:tcPr>
          <w:p w14:paraId="65C7F00A"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4250A5F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1962 Burmese coup marking beginning of 1 party rule; Military replaced AFPFL government Prime Minister U Nu, with Union Revolutionary Council General Ne Win; martial law </w:t>
            </w:r>
          </w:p>
        </w:tc>
      </w:tr>
      <w:tr w:rsidR="00CC477F" w:rsidRPr="00EE5852" w14:paraId="1C02E401" w14:textId="77777777" w:rsidTr="007D643C">
        <w:trPr>
          <w:trHeight w:val="288"/>
        </w:trPr>
        <w:tc>
          <w:tcPr>
            <w:tcW w:w="409" w:type="pct"/>
            <w:tcBorders>
              <w:top w:val="single" w:sz="4" w:space="0" w:color="auto"/>
              <w:bottom w:val="single" w:sz="4" w:space="0" w:color="auto"/>
            </w:tcBorders>
            <w:shd w:val="clear" w:color="auto" w:fill="auto"/>
            <w:vAlign w:val="center"/>
          </w:tcPr>
          <w:p w14:paraId="7B5B0054"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6D288003"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Myanmar</w:t>
            </w:r>
          </w:p>
        </w:tc>
        <w:tc>
          <w:tcPr>
            <w:tcW w:w="459" w:type="pct"/>
            <w:tcBorders>
              <w:top w:val="single" w:sz="4" w:space="0" w:color="auto"/>
              <w:bottom w:val="single" w:sz="4" w:space="0" w:color="auto"/>
            </w:tcBorders>
            <w:shd w:val="clear" w:color="auto" w:fill="auto"/>
            <w:vAlign w:val="center"/>
          </w:tcPr>
          <w:p w14:paraId="45C3E9B4"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198</w:t>
            </w:r>
            <w:r>
              <w:rPr>
                <w:rFonts w:ascii="Times New Roman" w:hAnsi="Times New Roman" w:cs="Times New Roman"/>
                <w:sz w:val="20"/>
                <w:szCs w:val="20"/>
              </w:rPr>
              <w:t>9</w:t>
            </w:r>
          </w:p>
        </w:tc>
        <w:tc>
          <w:tcPr>
            <w:tcW w:w="429" w:type="pct"/>
            <w:tcBorders>
              <w:top w:val="single" w:sz="4" w:space="0" w:color="auto"/>
              <w:left w:val="nil"/>
              <w:bottom w:val="single" w:sz="4" w:space="0" w:color="auto"/>
              <w:right w:val="nil"/>
            </w:tcBorders>
            <w:shd w:val="clear" w:color="auto" w:fill="auto"/>
            <w:vAlign w:val="center"/>
          </w:tcPr>
          <w:p w14:paraId="07E9668D"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200FDFA1"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8888 Uprising; nationwide protests and civil unrest </w:t>
            </w:r>
          </w:p>
        </w:tc>
      </w:tr>
      <w:tr w:rsidR="00CC477F" w:rsidRPr="00EE5852" w14:paraId="6130513E" w14:textId="77777777" w:rsidTr="007D643C">
        <w:trPr>
          <w:trHeight w:val="288"/>
        </w:trPr>
        <w:tc>
          <w:tcPr>
            <w:tcW w:w="409" w:type="pct"/>
            <w:tcBorders>
              <w:top w:val="single" w:sz="4" w:space="0" w:color="auto"/>
              <w:bottom w:val="single" w:sz="4" w:space="0" w:color="auto"/>
            </w:tcBorders>
            <w:shd w:val="clear" w:color="auto" w:fill="auto"/>
            <w:vAlign w:val="center"/>
          </w:tcPr>
          <w:p w14:paraId="35F1BCE7"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15E8A8C9"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Maldives</w:t>
            </w:r>
          </w:p>
        </w:tc>
        <w:tc>
          <w:tcPr>
            <w:tcW w:w="459" w:type="pct"/>
            <w:tcBorders>
              <w:top w:val="single" w:sz="4" w:space="0" w:color="auto"/>
              <w:bottom w:val="single" w:sz="4" w:space="0" w:color="auto"/>
            </w:tcBorders>
            <w:shd w:val="clear" w:color="auto" w:fill="auto"/>
            <w:vAlign w:val="center"/>
            <w:hideMark/>
          </w:tcPr>
          <w:p w14:paraId="199FE9B5"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200</w:t>
            </w:r>
            <w:r>
              <w:rPr>
                <w:rFonts w:ascii="Times New Roman" w:hAnsi="Times New Roman" w:cs="Times New Roman"/>
                <w:sz w:val="20"/>
                <w:szCs w:val="20"/>
              </w:rPr>
              <w:t>5</w:t>
            </w:r>
          </w:p>
        </w:tc>
        <w:tc>
          <w:tcPr>
            <w:tcW w:w="429" w:type="pct"/>
            <w:tcBorders>
              <w:top w:val="single" w:sz="4" w:space="0" w:color="auto"/>
              <w:left w:val="nil"/>
              <w:bottom w:val="single" w:sz="4" w:space="0" w:color="auto"/>
              <w:right w:val="nil"/>
            </w:tcBorders>
            <w:shd w:val="clear" w:color="auto" w:fill="auto"/>
            <w:vAlign w:val="center"/>
          </w:tcPr>
          <w:p w14:paraId="26D5918F"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6A3DD564"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Natural disaster - Indian Ocean earthquake; additional tsunami caused by earthquake; damages estimated </w:t>
            </w:r>
            <w:r>
              <w:rPr>
                <w:rFonts w:ascii="Times New Roman" w:hAnsi="Times New Roman" w:cs="Times New Roman"/>
                <w:color w:val="000000"/>
                <w:sz w:val="20"/>
                <w:szCs w:val="20"/>
              </w:rPr>
              <w:t xml:space="preserve">at </w:t>
            </w:r>
            <w:r w:rsidRPr="00EE5852">
              <w:rPr>
                <w:rFonts w:ascii="Times New Roman" w:hAnsi="Times New Roman" w:cs="Times New Roman"/>
                <w:color w:val="000000"/>
                <w:sz w:val="20"/>
                <w:szCs w:val="20"/>
              </w:rPr>
              <w:t>62% of GDP</w:t>
            </w:r>
          </w:p>
        </w:tc>
      </w:tr>
      <w:tr w:rsidR="00CC477F" w:rsidRPr="00EE5852" w14:paraId="13E79133" w14:textId="77777777" w:rsidTr="007D643C">
        <w:trPr>
          <w:trHeight w:val="288"/>
        </w:trPr>
        <w:tc>
          <w:tcPr>
            <w:tcW w:w="409" w:type="pct"/>
            <w:tcBorders>
              <w:top w:val="single" w:sz="4" w:space="0" w:color="auto"/>
              <w:bottom w:val="single" w:sz="4" w:space="0" w:color="auto"/>
            </w:tcBorders>
            <w:shd w:val="clear" w:color="auto" w:fill="auto"/>
            <w:vAlign w:val="center"/>
          </w:tcPr>
          <w:p w14:paraId="15A9914A"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25378E97"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Thailand</w:t>
            </w:r>
          </w:p>
        </w:tc>
        <w:tc>
          <w:tcPr>
            <w:tcW w:w="459" w:type="pct"/>
            <w:tcBorders>
              <w:top w:val="single" w:sz="4" w:space="0" w:color="auto"/>
              <w:bottom w:val="single" w:sz="4" w:space="0" w:color="auto"/>
            </w:tcBorders>
            <w:shd w:val="clear" w:color="auto" w:fill="auto"/>
            <w:vAlign w:val="center"/>
            <w:hideMark/>
          </w:tcPr>
          <w:p w14:paraId="5F65EE00"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1997</w:t>
            </w:r>
          </w:p>
        </w:tc>
        <w:tc>
          <w:tcPr>
            <w:tcW w:w="429" w:type="pct"/>
            <w:tcBorders>
              <w:top w:val="single" w:sz="4" w:space="0" w:color="auto"/>
              <w:left w:val="nil"/>
              <w:bottom w:val="single" w:sz="4" w:space="0" w:color="auto"/>
              <w:right w:val="nil"/>
            </w:tcBorders>
            <w:shd w:val="clear" w:color="auto" w:fill="auto"/>
            <w:vAlign w:val="center"/>
          </w:tcPr>
          <w:p w14:paraId="64686A36"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14BF8F4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Asian Financial Crisis</w:t>
            </w:r>
          </w:p>
        </w:tc>
      </w:tr>
      <w:tr w:rsidR="00CC477F" w:rsidRPr="00EE5852" w14:paraId="617D5B79" w14:textId="77777777" w:rsidTr="007D643C">
        <w:trPr>
          <w:trHeight w:val="288"/>
        </w:trPr>
        <w:tc>
          <w:tcPr>
            <w:tcW w:w="409" w:type="pct"/>
            <w:tcBorders>
              <w:top w:val="single" w:sz="4" w:space="0" w:color="auto"/>
              <w:bottom w:val="single" w:sz="4" w:space="0" w:color="auto"/>
            </w:tcBorders>
            <w:shd w:val="clear" w:color="auto" w:fill="auto"/>
            <w:vAlign w:val="center"/>
          </w:tcPr>
          <w:p w14:paraId="35BA0A2D"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3D25201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Malaysia</w:t>
            </w:r>
          </w:p>
        </w:tc>
        <w:tc>
          <w:tcPr>
            <w:tcW w:w="459" w:type="pct"/>
            <w:tcBorders>
              <w:top w:val="single" w:sz="4" w:space="0" w:color="auto"/>
              <w:bottom w:val="single" w:sz="4" w:space="0" w:color="auto"/>
            </w:tcBorders>
            <w:shd w:val="clear" w:color="auto" w:fill="auto"/>
            <w:vAlign w:val="center"/>
            <w:hideMark/>
          </w:tcPr>
          <w:p w14:paraId="544DC21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1998</w:t>
            </w:r>
          </w:p>
        </w:tc>
        <w:tc>
          <w:tcPr>
            <w:tcW w:w="429" w:type="pct"/>
            <w:tcBorders>
              <w:top w:val="single" w:sz="4" w:space="0" w:color="auto"/>
              <w:left w:val="nil"/>
              <w:bottom w:val="single" w:sz="4" w:space="0" w:color="auto"/>
              <w:right w:val="nil"/>
            </w:tcBorders>
            <w:shd w:val="clear" w:color="auto" w:fill="auto"/>
            <w:vAlign w:val="center"/>
          </w:tcPr>
          <w:p w14:paraId="461CBA9C"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572FD7F9"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Asian Financial Crisis</w:t>
            </w:r>
          </w:p>
        </w:tc>
      </w:tr>
      <w:tr w:rsidR="00CC477F" w:rsidRPr="00EE5852" w14:paraId="59D6BA63" w14:textId="77777777" w:rsidTr="007D643C">
        <w:trPr>
          <w:trHeight w:val="288"/>
        </w:trPr>
        <w:tc>
          <w:tcPr>
            <w:tcW w:w="409" w:type="pct"/>
            <w:tcBorders>
              <w:top w:val="single" w:sz="4" w:space="0" w:color="auto"/>
              <w:bottom w:val="single" w:sz="4" w:space="0" w:color="auto"/>
            </w:tcBorders>
            <w:shd w:val="clear" w:color="auto" w:fill="auto"/>
            <w:vAlign w:val="center"/>
          </w:tcPr>
          <w:p w14:paraId="212B2001"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0E77812F"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Singapore</w:t>
            </w:r>
          </w:p>
        </w:tc>
        <w:tc>
          <w:tcPr>
            <w:tcW w:w="459" w:type="pct"/>
            <w:tcBorders>
              <w:top w:val="single" w:sz="4" w:space="0" w:color="auto"/>
              <w:bottom w:val="single" w:sz="4" w:space="0" w:color="auto"/>
            </w:tcBorders>
            <w:shd w:val="clear" w:color="auto" w:fill="auto"/>
            <w:vAlign w:val="center"/>
            <w:hideMark/>
          </w:tcPr>
          <w:p w14:paraId="19A3B21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1998</w:t>
            </w:r>
          </w:p>
        </w:tc>
        <w:tc>
          <w:tcPr>
            <w:tcW w:w="429" w:type="pct"/>
            <w:tcBorders>
              <w:top w:val="single" w:sz="4" w:space="0" w:color="auto"/>
              <w:left w:val="nil"/>
              <w:bottom w:val="single" w:sz="4" w:space="0" w:color="auto"/>
              <w:right w:val="nil"/>
            </w:tcBorders>
            <w:shd w:val="clear" w:color="auto" w:fill="auto"/>
            <w:vAlign w:val="center"/>
          </w:tcPr>
          <w:p w14:paraId="37F47AF8"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391E48AC"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Asian Financial Crisis</w:t>
            </w:r>
          </w:p>
        </w:tc>
      </w:tr>
      <w:tr w:rsidR="00CC477F" w:rsidRPr="00EE5852" w14:paraId="3E9E4B7E" w14:textId="77777777" w:rsidTr="007D643C">
        <w:trPr>
          <w:trHeight w:val="288"/>
        </w:trPr>
        <w:tc>
          <w:tcPr>
            <w:tcW w:w="409" w:type="pct"/>
            <w:tcBorders>
              <w:top w:val="single" w:sz="4" w:space="0" w:color="auto"/>
              <w:bottom w:val="single" w:sz="4" w:space="0" w:color="auto"/>
            </w:tcBorders>
            <w:shd w:val="clear" w:color="auto" w:fill="auto"/>
            <w:vAlign w:val="center"/>
          </w:tcPr>
          <w:p w14:paraId="1DB941E2"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67212D60"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Singapore</w:t>
            </w:r>
          </w:p>
        </w:tc>
        <w:tc>
          <w:tcPr>
            <w:tcW w:w="459" w:type="pct"/>
            <w:tcBorders>
              <w:top w:val="single" w:sz="4" w:space="0" w:color="auto"/>
              <w:bottom w:val="single" w:sz="4" w:space="0" w:color="auto"/>
            </w:tcBorders>
            <w:shd w:val="clear" w:color="auto" w:fill="auto"/>
            <w:vAlign w:val="center"/>
            <w:hideMark/>
          </w:tcPr>
          <w:p w14:paraId="7ED6B781"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1964</w:t>
            </w:r>
          </w:p>
        </w:tc>
        <w:tc>
          <w:tcPr>
            <w:tcW w:w="429" w:type="pct"/>
            <w:tcBorders>
              <w:top w:val="single" w:sz="4" w:space="0" w:color="auto"/>
              <w:left w:val="nil"/>
              <w:bottom w:val="single" w:sz="4" w:space="0" w:color="auto"/>
              <w:right w:val="nil"/>
            </w:tcBorders>
            <w:shd w:val="clear" w:color="auto" w:fill="auto"/>
            <w:vAlign w:val="center"/>
          </w:tcPr>
          <w:p w14:paraId="0E4AC4D4"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656DC152"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 xml:space="preserve">1964 race riots and civil disturbances </w:t>
            </w:r>
          </w:p>
        </w:tc>
      </w:tr>
      <w:tr w:rsidR="00CC477F" w:rsidRPr="00EE5852" w14:paraId="742FFE5D" w14:textId="77777777" w:rsidTr="007D643C">
        <w:trPr>
          <w:trHeight w:val="288"/>
        </w:trPr>
        <w:tc>
          <w:tcPr>
            <w:tcW w:w="409" w:type="pct"/>
            <w:tcBorders>
              <w:top w:val="single" w:sz="4" w:space="0" w:color="auto"/>
              <w:bottom w:val="single" w:sz="4" w:space="0" w:color="auto"/>
            </w:tcBorders>
            <w:shd w:val="clear" w:color="auto" w:fill="auto"/>
            <w:vAlign w:val="center"/>
          </w:tcPr>
          <w:p w14:paraId="59C2FF68"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28CD226F"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Philippines</w:t>
            </w:r>
          </w:p>
        </w:tc>
        <w:tc>
          <w:tcPr>
            <w:tcW w:w="459" w:type="pct"/>
            <w:tcBorders>
              <w:top w:val="single" w:sz="4" w:space="0" w:color="auto"/>
              <w:bottom w:val="single" w:sz="4" w:space="0" w:color="auto"/>
            </w:tcBorders>
            <w:shd w:val="clear" w:color="auto" w:fill="auto"/>
            <w:vAlign w:val="center"/>
          </w:tcPr>
          <w:p w14:paraId="60AEB425"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197</w:t>
            </w:r>
            <w:r>
              <w:rPr>
                <w:rFonts w:ascii="Times New Roman" w:hAnsi="Times New Roman" w:cs="Times New Roman"/>
                <w:sz w:val="20"/>
                <w:szCs w:val="20"/>
              </w:rPr>
              <w:t>4</w:t>
            </w:r>
          </w:p>
        </w:tc>
        <w:tc>
          <w:tcPr>
            <w:tcW w:w="429" w:type="pct"/>
            <w:tcBorders>
              <w:top w:val="single" w:sz="4" w:space="0" w:color="auto"/>
              <w:left w:val="nil"/>
              <w:bottom w:val="single" w:sz="4" w:space="0" w:color="auto"/>
              <w:right w:val="nil"/>
            </w:tcBorders>
            <w:shd w:val="clear" w:color="auto" w:fill="auto"/>
            <w:vAlign w:val="center"/>
          </w:tcPr>
          <w:p w14:paraId="2941D5A5"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5DADEB7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Ferdinand Marcos </w:t>
            </w:r>
            <w:r>
              <w:rPr>
                <w:rFonts w:ascii="Times New Roman" w:hAnsi="Times New Roman" w:cs="Times New Roman"/>
                <w:color w:val="000000"/>
                <w:sz w:val="20"/>
                <w:szCs w:val="20"/>
              </w:rPr>
              <w:t>institutes martial law among class and ethnic conflicts; total poli</w:t>
            </w:r>
            <w:r w:rsidRPr="00EE5852">
              <w:rPr>
                <w:rFonts w:ascii="Times New Roman" w:hAnsi="Times New Roman" w:cs="Times New Roman"/>
                <w:color w:val="000000"/>
                <w:sz w:val="20"/>
                <w:szCs w:val="20"/>
              </w:rPr>
              <w:t>ty change of -14)</w:t>
            </w:r>
          </w:p>
        </w:tc>
      </w:tr>
      <w:tr w:rsidR="00CC477F" w:rsidRPr="00EE5852" w14:paraId="52145EEB" w14:textId="77777777" w:rsidTr="007D643C">
        <w:trPr>
          <w:trHeight w:val="288"/>
        </w:trPr>
        <w:tc>
          <w:tcPr>
            <w:tcW w:w="409" w:type="pct"/>
            <w:tcBorders>
              <w:top w:val="single" w:sz="4" w:space="0" w:color="auto"/>
              <w:bottom w:val="single" w:sz="4" w:space="0" w:color="auto"/>
            </w:tcBorders>
            <w:shd w:val="clear" w:color="auto" w:fill="auto"/>
            <w:vAlign w:val="center"/>
          </w:tcPr>
          <w:p w14:paraId="703E1B76"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19B06A71"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Philippines</w:t>
            </w:r>
          </w:p>
        </w:tc>
        <w:tc>
          <w:tcPr>
            <w:tcW w:w="459" w:type="pct"/>
            <w:tcBorders>
              <w:top w:val="single" w:sz="4" w:space="0" w:color="auto"/>
              <w:bottom w:val="single" w:sz="4" w:space="0" w:color="auto"/>
            </w:tcBorders>
            <w:shd w:val="clear" w:color="auto" w:fill="auto"/>
            <w:vAlign w:val="center"/>
            <w:hideMark/>
          </w:tcPr>
          <w:p w14:paraId="1FF02C2C"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1984</w:t>
            </w:r>
          </w:p>
        </w:tc>
        <w:tc>
          <w:tcPr>
            <w:tcW w:w="429" w:type="pct"/>
            <w:tcBorders>
              <w:top w:val="single" w:sz="4" w:space="0" w:color="auto"/>
              <w:left w:val="nil"/>
              <w:bottom w:val="single" w:sz="4" w:space="0" w:color="auto"/>
              <w:right w:val="nil"/>
            </w:tcBorders>
            <w:shd w:val="clear" w:color="auto" w:fill="auto"/>
            <w:vAlign w:val="center"/>
          </w:tcPr>
          <w:p w14:paraId="5BDB5386"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082016B9"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Assassination of Benigno Aquino Jr. 1983</w:t>
            </w:r>
          </w:p>
        </w:tc>
      </w:tr>
      <w:tr w:rsidR="00CC477F" w:rsidRPr="00EE5852" w14:paraId="2BB0D979" w14:textId="77777777" w:rsidTr="007D643C">
        <w:trPr>
          <w:trHeight w:val="288"/>
        </w:trPr>
        <w:tc>
          <w:tcPr>
            <w:tcW w:w="409" w:type="pct"/>
            <w:tcBorders>
              <w:top w:val="single" w:sz="4" w:space="0" w:color="auto"/>
              <w:bottom w:val="single" w:sz="4" w:space="0" w:color="auto"/>
            </w:tcBorders>
            <w:shd w:val="clear" w:color="auto" w:fill="auto"/>
            <w:vAlign w:val="center"/>
          </w:tcPr>
          <w:p w14:paraId="728A418C"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3D019271"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Philippines</w:t>
            </w:r>
          </w:p>
        </w:tc>
        <w:tc>
          <w:tcPr>
            <w:tcW w:w="459" w:type="pct"/>
            <w:tcBorders>
              <w:top w:val="single" w:sz="4" w:space="0" w:color="auto"/>
              <w:bottom w:val="single" w:sz="4" w:space="0" w:color="auto"/>
            </w:tcBorders>
            <w:shd w:val="clear" w:color="auto" w:fill="auto"/>
            <w:vAlign w:val="center"/>
            <w:hideMark/>
          </w:tcPr>
          <w:p w14:paraId="005BD930"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1986</w:t>
            </w:r>
          </w:p>
        </w:tc>
        <w:tc>
          <w:tcPr>
            <w:tcW w:w="429" w:type="pct"/>
            <w:tcBorders>
              <w:top w:val="single" w:sz="4" w:space="0" w:color="auto"/>
              <w:left w:val="nil"/>
              <w:bottom w:val="single" w:sz="4" w:space="0" w:color="auto"/>
              <w:right w:val="nil"/>
            </w:tcBorders>
            <w:shd w:val="clear" w:color="auto" w:fill="auto"/>
            <w:vAlign w:val="center"/>
          </w:tcPr>
          <w:p w14:paraId="5EA7BBA3"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63D634B4"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People Power Revolution; Yellow Revolution; sustained campaign of civil resistance against regime violence and electoral fraud; </w:t>
            </w:r>
          </w:p>
        </w:tc>
      </w:tr>
      <w:tr w:rsidR="00CC477F" w:rsidRPr="00EE5852" w14:paraId="72A6E397" w14:textId="77777777" w:rsidTr="007D643C">
        <w:trPr>
          <w:trHeight w:val="288"/>
        </w:trPr>
        <w:tc>
          <w:tcPr>
            <w:tcW w:w="409" w:type="pct"/>
            <w:tcBorders>
              <w:top w:val="single" w:sz="4" w:space="0" w:color="auto"/>
              <w:bottom w:val="single" w:sz="4" w:space="0" w:color="auto"/>
            </w:tcBorders>
            <w:shd w:val="clear" w:color="auto" w:fill="auto"/>
            <w:vAlign w:val="center"/>
          </w:tcPr>
          <w:p w14:paraId="3A93C901"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5293013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Philippines</w:t>
            </w:r>
          </w:p>
        </w:tc>
        <w:tc>
          <w:tcPr>
            <w:tcW w:w="459" w:type="pct"/>
            <w:tcBorders>
              <w:top w:val="single" w:sz="4" w:space="0" w:color="auto"/>
              <w:bottom w:val="single" w:sz="4" w:space="0" w:color="auto"/>
            </w:tcBorders>
            <w:shd w:val="clear" w:color="auto" w:fill="auto"/>
            <w:vAlign w:val="center"/>
            <w:hideMark/>
          </w:tcPr>
          <w:p w14:paraId="6CA3146A"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1998</w:t>
            </w:r>
          </w:p>
        </w:tc>
        <w:tc>
          <w:tcPr>
            <w:tcW w:w="429" w:type="pct"/>
            <w:tcBorders>
              <w:top w:val="single" w:sz="4" w:space="0" w:color="auto"/>
              <w:left w:val="nil"/>
              <w:bottom w:val="single" w:sz="4" w:space="0" w:color="auto"/>
              <w:right w:val="nil"/>
            </w:tcBorders>
            <w:shd w:val="clear" w:color="auto" w:fill="auto"/>
            <w:vAlign w:val="center"/>
          </w:tcPr>
          <w:p w14:paraId="47531A7F"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5A2C5ADE"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Asian Financial Crisis</w:t>
            </w:r>
          </w:p>
        </w:tc>
      </w:tr>
      <w:tr w:rsidR="00CC477F" w:rsidRPr="00EE5852" w14:paraId="74C03335" w14:textId="77777777" w:rsidTr="007D643C">
        <w:trPr>
          <w:trHeight w:val="288"/>
        </w:trPr>
        <w:tc>
          <w:tcPr>
            <w:tcW w:w="409" w:type="pct"/>
            <w:tcBorders>
              <w:top w:val="single" w:sz="4" w:space="0" w:color="auto"/>
              <w:bottom w:val="single" w:sz="4" w:space="0" w:color="auto"/>
            </w:tcBorders>
            <w:shd w:val="clear" w:color="auto" w:fill="auto"/>
            <w:vAlign w:val="center"/>
          </w:tcPr>
          <w:p w14:paraId="07761C1C"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59210236"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Indonesia</w:t>
            </w:r>
          </w:p>
        </w:tc>
        <w:tc>
          <w:tcPr>
            <w:tcW w:w="459" w:type="pct"/>
            <w:tcBorders>
              <w:top w:val="single" w:sz="4" w:space="0" w:color="auto"/>
              <w:bottom w:val="single" w:sz="4" w:space="0" w:color="auto"/>
            </w:tcBorders>
            <w:shd w:val="clear" w:color="auto" w:fill="auto"/>
            <w:vAlign w:val="center"/>
            <w:hideMark/>
          </w:tcPr>
          <w:p w14:paraId="625EB99E"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1998</w:t>
            </w:r>
          </w:p>
        </w:tc>
        <w:tc>
          <w:tcPr>
            <w:tcW w:w="429" w:type="pct"/>
            <w:tcBorders>
              <w:top w:val="single" w:sz="4" w:space="0" w:color="auto"/>
              <w:left w:val="nil"/>
              <w:bottom w:val="single" w:sz="4" w:space="0" w:color="auto"/>
              <w:right w:val="nil"/>
            </w:tcBorders>
            <w:shd w:val="clear" w:color="auto" w:fill="auto"/>
            <w:vAlign w:val="center"/>
          </w:tcPr>
          <w:p w14:paraId="6703C0BB"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1605BA13"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Asian Financial Crisis</w:t>
            </w:r>
          </w:p>
        </w:tc>
      </w:tr>
      <w:tr w:rsidR="00CC477F" w:rsidRPr="00EE5852" w14:paraId="68327AA8" w14:textId="77777777" w:rsidTr="007D643C">
        <w:trPr>
          <w:trHeight w:val="288"/>
        </w:trPr>
        <w:tc>
          <w:tcPr>
            <w:tcW w:w="409" w:type="pct"/>
            <w:tcBorders>
              <w:top w:val="single" w:sz="4" w:space="0" w:color="auto"/>
              <w:bottom w:val="single" w:sz="4" w:space="0" w:color="auto"/>
            </w:tcBorders>
            <w:shd w:val="clear" w:color="auto" w:fill="auto"/>
            <w:vAlign w:val="center"/>
          </w:tcPr>
          <w:p w14:paraId="0C795CF6"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26F001A4"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East Timor</w:t>
            </w:r>
          </w:p>
        </w:tc>
        <w:tc>
          <w:tcPr>
            <w:tcW w:w="459" w:type="pct"/>
            <w:tcBorders>
              <w:top w:val="single" w:sz="4" w:space="0" w:color="auto"/>
              <w:bottom w:val="single" w:sz="4" w:space="0" w:color="auto"/>
            </w:tcBorders>
            <w:shd w:val="clear" w:color="auto" w:fill="auto"/>
            <w:vAlign w:val="center"/>
            <w:hideMark/>
          </w:tcPr>
          <w:p w14:paraId="607BB3DD"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200</w:t>
            </w:r>
            <w:r>
              <w:rPr>
                <w:rFonts w:ascii="Times New Roman" w:hAnsi="Times New Roman" w:cs="Times New Roman"/>
                <w:sz w:val="20"/>
                <w:szCs w:val="20"/>
              </w:rPr>
              <w:t>7</w:t>
            </w:r>
          </w:p>
        </w:tc>
        <w:tc>
          <w:tcPr>
            <w:tcW w:w="429" w:type="pct"/>
            <w:tcBorders>
              <w:top w:val="single" w:sz="4" w:space="0" w:color="auto"/>
              <w:left w:val="nil"/>
              <w:bottom w:val="single" w:sz="4" w:space="0" w:color="auto"/>
              <w:right w:val="nil"/>
            </w:tcBorders>
            <w:shd w:val="clear" w:color="auto" w:fill="auto"/>
            <w:vAlign w:val="center"/>
          </w:tcPr>
          <w:p w14:paraId="04B00379"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6F81F8CB"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 xml:space="preserve">East Timorese Crisis - conflict and coup attempt; external military intervention; resignation of Prime Minister </w:t>
            </w:r>
          </w:p>
        </w:tc>
      </w:tr>
      <w:tr w:rsidR="00CC477F" w:rsidRPr="00EE5852" w14:paraId="46282B23" w14:textId="77777777" w:rsidTr="007D643C">
        <w:trPr>
          <w:trHeight w:val="288"/>
        </w:trPr>
        <w:tc>
          <w:tcPr>
            <w:tcW w:w="409" w:type="pct"/>
            <w:tcBorders>
              <w:top w:val="single" w:sz="4" w:space="0" w:color="auto"/>
              <w:bottom w:val="single" w:sz="4" w:space="0" w:color="auto"/>
            </w:tcBorders>
            <w:shd w:val="clear" w:color="auto" w:fill="auto"/>
            <w:vAlign w:val="center"/>
          </w:tcPr>
          <w:p w14:paraId="7398630F" w14:textId="77777777" w:rsidR="00CC477F" w:rsidRPr="00EE5852" w:rsidRDefault="00CC477F" w:rsidP="007D643C">
            <w:pPr>
              <w:rPr>
                <w:rFonts w:ascii="Times New Roman" w:hAnsi="Times New Roman" w:cs="Times New Roman"/>
                <w:sz w:val="20"/>
                <w:szCs w:val="20"/>
              </w:rPr>
            </w:pPr>
          </w:p>
        </w:tc>
        <w:tc>
          <w:tcPr>
            <w:tcW w:w="905" w:type="pct"/>
            <w:tcBorders>
              <w:top w:val="single" w:sz="4" w:space="0" w:color="auto"/>
              <w:bottom w:val="single" w:sz="4" w:space="0" w:color="auto"/>
            </w:tcBorders>
            <w:shd w:val="clear" w:color="auto" w:fill="auto"/>
            <w:vAlign w:val="center"/>
            <w:hideMark/>
          </w:tcPr>
          <w:p w14:paraId="381D2319"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Papua New Guinea</w:t>
            </w:r>
          </w:p>
        </w:tc>
        <w:tc>
          <w:tcPr>
            <w:tcW w:w="459" w:type="pct"/>
            <w:tcBorders>
              <w:top w:val="single" w:sz="4" w:space="0" w:color="auto"/>
              <w:bottom w:val="single" w:sz="4" w:space="0" w:color="auto"/>
            </w:tcBorders>
            <w:shd w:val="clear" w:color="auto" w:fill="auto"/>
            <w:vAlign w:val="center"/>
            <w:hideMark/>
          </w:tcPr>
          <w:p w14:paraId="50D8383E"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sz w:val="20"/>
                <w:szCs w:val="20"/>
              </w:rPr>
              <w:t>1991</w:t>
            </w:r>
          </w:p>
        </w:tc>
        <w:tc>
          <w:tcPr>
            <w:tcW w:w="429" w:type="pct"/>
            <w:tcBorders>
              <w:top w:val="single" w:sz="4" w:space="0" w:color="auto"/>
              <w:left w:val="nil"/>
              <w:bottom w:val="single" w:sz="4" w:space="0" w:color="auto"/>
              <w:right w:val="nil"/>
            </w:tcBorders>
            <w:shd w:val="clear" w:color="auto" w:fill="auto"/>
            <w:vAlign w:val="center"/>
          </w:tcPr>
          <w:p w14:paraId="11F28B47" w14:textId="77777777" w:rsidR="00CC477F" w:rsidRPr="00EE5852" w:rsidRDefault="00CC477F" w:rsidP="007D643C">
            <w:pPr>
              <w:rPr>
                <w:rFonts w:ascii="Times New Roman" w:hAnsi="Times New Roman" w:cs="Times New Roman"/>
                <w:sz w:val="20"/>
                <w:szCs w:val="20"/>
              </w:rPr>
            </w:pPr>
          </w:p>
        </w:tc>
        <w:tc>
          <w:tcPr>
            <w:tcW w:w="2798" w:type="pct"/>
            <w:tcBorders>
              <w:top w:val="single" w:sz="4" w:space="0" w:color="auto"/>
              <w:bottom w:val="single" w:sz="4" w:space="0" w:color="auto"/>
            </w:tcBorders>
            <w:shd w:val="clear" w:color="auto" w:fill="auto"/>
            <w:vAlign w:val="center"/>
          </w:tcPr>
          <w:p w14:paraId="20D5D3B9" w14:textId="77777777" w:rsidR="00CC477F" w:rsidRPr="00EE5852" w:rsidRDefault="00CC477F" w:rsidP="007D643C">
            <w:pPr>
              <w:rPr>
                <w:rFonts w:ascii="Times New Roman" w:hAnsi="Times New Roman" w:cs="Times New Roman"/>
                <w:sz w:val="20"/>
                <w:szCs w:val="20"/>
              </w:rPr>
            </w:pPr>
            <w:r w:rsidRPr="00EE5852">
              <w:rPr>
                <w:rFonts w:ascii="Times New Roman" w:hAnsi="Times New Roman" w:cs="Times New Roman"/>
                <w:color w:val="000000"/>
                <w:sz w:val="20"/>
                <w:szCs w:val="20"/>
              </w:rPr>
              <w:t>1990 dubbed "Year of Crisis"</w:t>
            </w:r>
            <w:r>
              <w:rPr>
                <w:rFonts w:ascii="Times New Roman" w:hAnsi="Times New Roman" w:cs="Times New Roman"/>
                <w:color w:val="000000"/>
                <w:sz w:val="20"/>
                <w:szCs w:val="20"/>
              </w:rPr>
              <w:t>;</w:t>
            </w:r>
            <w:r w:rsidRPr="00EE5852">
              <w:rPr>
                <w:rFonts w:ascii="Times New Roman" w:hAnsi="Times New Roman" w:cs="Times New Roman"/>
                <w:color w:val="000000"/>
                <w:sz w:val="20"/>
                <w:szCs w:val="20"/>
              </w:rPr>
              <w:t xml:space="preserve"> secessionists proclaimed independence</w:t>
            </w:r>
          </w:p>
        </w:tc>
      </w:tr>
    </w:tbl>
    <w:p w14:paraId="7591075A" w14:textId="77777777" w:rsidR="00C6488D" w:rsidRDefault="00C6488D" w:rsidP="00984F8E">
      <w:pPr>
        <w:rPr>
          <w:rFonts w:ascii="Times New Roman" w:hAnsi="Times New Roman" w:cs="Times New Roman"/>
          <w:b/>
          <w:bCs/>
          <w:sz w:val="24"/>
          <w:szCs w:val="24"/>
        </w:rPr>
      </w:pPr>
    </w:p>
    <w:p w14:paraId="72E5B4B8" w14:textId="6F7800D5" w:rsidR="00CC477F" w:rsidRDefault="00CC477F" w:rsidP="00984F8E">
      <w:pPr>
        <w:rPr>
          <w:rFonts w:ascii="Times New Roman" w:hAnsi="Times New Roman" w:cs="Times New Roman"/>
          <w:b/>
          <w:bCs/>
          <w:sz w:val="24"/>
          <w:szCs w:val="24"/>
        </w:rPr>
      </w:pPr>
      <w:r>
        <w:rPr>
          <w:rFonts w:ascii="Times New Roman" w:hAnsi="Times New Roman" w:cs="Times New Roman"/>
          <w:b/>
          <w:bCs/>
          <w:sz w:val="24"/>
          <w:szCs w:val="24"/>
        </w:rPr>
        <w:t xml:space="preserve">X </w:t>
      </w:r>
      <w:r w:rsidRPr="00063FE5">
        <w:rPr>
          <w:rFonts w:ascii="Times New Roman" w:hAnsi="Times New Roman" w:cs="Times New Roman"/>
          <w:sz w:val="24"/>
          <w:szCs w:val="24"/>
        </w:rPr>
        <w:t xml:space="preserve">indicates </w:t>
      </w:r>
      <w:r>
        <w:rPr>
          <w:rFonts w:ascii="Times New Roman" w:hAnsi="Times New Roman" w:cs="Times New Roman"/>
          <w:sz w:val="24"/>
          <w:szCs w:val="24"/>
        </w:rPr>
        <w:t xml:space="preserve">the three </w:t>
      </w:r>
      <w:r w:rsidRPr="00063FE5">
        <w:rPr>
          <w:rFonts w:ascii="Times New Roman" w:hAnsi="Times New Roman" w:cs="Times New Roman"/>
          <w:sz w:val="24"/>
          <w:szCs w:val="24"/>
        </w:rPr>
        <w:t xml:space="preserve">cases </w:t>
      </w:r>
      <w:r>
        <w:rPr>
          <w:rFonts w:ascii="Times New Roman" w:hAnsi="Times New Roman" w:cs="Times New Roman"/>
          <w:sz w:val="24"/>
          <w:szCs w:val="24"/>
        </w:rPr>
        <w:t xml:space="preserve">over which the coders were in disagreement regarding whether the event associated with the case was consistent with the definition of </w:t>
      </w:r>
      <w:r w:rsidR="00F11804">
        <w:rPr>
          <w:rFonts w:ascii="Times New Roman" w:hAnsi="Times New Roman" w:cs="Times New Roman"/>
          <w:sz w:val="24"/>
          <w:szCs w:val="24"/>
        </w:rPr>
        <w:t xml:space="preserve">a </w:t>
      </w:r>
      <w:r>
        <w:rPr>
          <w:rFonts w:ascii="Times New Roman" w:hAnsi="Times New Roman" w:cs="Times New Roman"/>
          <w:sz w:val="24"/>
          <w:szCs w:val="24"/>
        </w:rPr>
        <w:t>potential political shock</w:t>
      </w:r>
      <w:r w:rsidR="00C6488D">
        <w:rPr>
          <w:rFonts w:ascii="Times New Roman" w:hAnsi="Times New Roman" w:cs="Times New Roman"/>
          <w:sz w:val="24"/>
          <w:szCs w:val="24"/>
        </w:rPr>
        <w:t>.</w:t>
      </w:r>
    </w:p>
    <w:p w14:paraId="71FEC390" w14:textId="218351D4" w:rsidR="00984F8E" w:rsidRPr="00A32DF7" w:rsidRDefault="00984F8E" w:rsidP="00984F8E">
      <w:pPr>
        <w:rPr>
          <w:rFonts w:ascii="Times New Roman" w:hAnsi="Times New Roman" w:cs="Times New Roman"/>
          <w:b/>
          <w:bCs/>
          <w:sz w:val="24"/>
          <w:szCs w:val="24"/>
        </w:rPr>
      </w:pPr>
    </w:p>
    <w:p w14:paraId="39C958C0" w14:textId="71C78373" w:rsidR="00844166" w:rsidRDefault="00844166">
      <w:pPr>
        <w:rPr>
          <w:rFonts w:ascii="Times New Roman" w:hAnsi="Times New Roman" w:cs="Times New Roman"/>
          <w:sz w:val="24"/>
          <w:szCs w:val="24"/>
        </w:rPr>
      </w:pPr>
      <w:r>
        <w:rPr>
          <w:rFonts w:ascii="Times New Roman" w:hAnsi="Times New Roman" w:cs="Times New Roman"/>
          <w:sz w:val="24"/>
          <w:szCs w:val="24"/>
        </w:rPr>
        <w:br w:type="page"/>
      </w:r>
    </w:p>
    <w:p w14:paraId="0E0ABD1B" w14:textId="5D33548F" w:rsidR="00984F8E" w:rsidRPr="00844166" w:rsidRDefault="00844166" w:rsidP="009B25AC">
      <w:pPr>
        <w:spacing w:line="480" w:lineRule="auto"/>
        <w:ind w:right="-270"/>
        <w:rPr>
          <w:rFonts w:ascii="Times New Roman" w:hAnsi="Times New Roman" w:cs="Times New Roman"/>
          <w:b/>
          <w:bCs/>
          <w:sz w:val="24"/>
          <w:szCs w:val="24"/>
        </w:rPr>
      </w:pPr>
      <w:r w:rsidRPr="00844166">
        <w:rPr>
          <w:rFonts w:ascii="Times New Roman" w:hAnsi="Times New Roman" w:cs="Times New Roman"/>
          <w:b/>
          <w:bCs/>
          <w:sz w:val="24"/>
          <w:szCs w:val="24"/>
        </w:rPr>
        <w:lastRenderedPageBreak/>
        <w:t xml:space="preserve">Appendix C. </w:t>
      </w:r>
      <w:r w:rsidR="009B25AC" w:rsidRPr="00092A8C">
        <w:rPr>
          <w:rFonts w:ascii="Times New Roman" w:hAnsi="Times New Roman" w:cs="Times New Roman"/>
          <w:b/>
          <w:bCs/>
          <w:sz w:val="24"/>
          <w:szCs w:val="24"/>
        </w:rPr>
        <w:t>A Framework for assessing the impact of political shocks on the actions of states</w:t>
      </w:r>
      <w:r w:rsidR="009B25AC">
        <w:rPr>
          <w:rFonts w:ascii="Times New Roman" w:hAnsi="Times New Roman" w:cs="Times New Roman"/>
          <w:b/>
          <w:bCs/>
          <w:sz w:val="24"/>
          <w:szCs w:val="24"/>
        </w:rPr>
        <w:t>.</w:t>
      </w:r>
    </w:p>
    <w:p w14:paraId="55364EFE" w14:textId="77777777" w:rsidR="009B25AC" w:rsidRPr="00092A8C" w:rsidRDefault="009B25AC" w:rsidP="009B25AC">
      <w:pPr>
        <w:tabs>
          <w:tab w:val="left" w:pos="2630"/>
          <w:tab w:val="center" w:pos="4680"/>
        </w:tabs>
        <w:rPr>
          <w:b/>
          <w:bCs/>
        </w:rPr>
      </w:pPr>
      <w:r>
        <w:rPr>
          <w:b/>
          <w:bCs/>
        </w:rPr>
        <w:tab/>
        <w:t>A</w:t>
      </w:r>
      <w:r>
        <w:rPr>
          <w:b/>
          <w:bCs/>
        </w:rPr>
        <w:tab/>
      </w:r>
      <w:r w:rsidRPr="00092A8C">
        <w:rPr>
          <w:b/>
          <w:bCs/>
          <w:noProof/>
        </w:rPr>
        <mc:AlternateContent>
          <mc:Choice Requires="wps">
            <w:drawing>
              <wp:anchor distT="0" distB="0" distL="114300" distR="114300" simplePos="0" relativeHeight="251704320" behindDoc="0" locked="0" layoutInCell="1" allowOverlap="1" wp14:anchorId="0D635DBD" wp14:editId="380FCED6">
                <wp:simplePos x="0" y="0"/>
                <wp:positionH relativeFrom="column">
                  <wp:posOffset>1892410</wp:posOffset>
                </wp:positionH>
                <wp:positionV relativeFrom="paragraph">
                  <wp:posOffset>-47708</wp:posOffset>
                </wp:positionV>
                <wp:extent cx="2456953" cy="620202"/>
                <wp:effectExtent l="0" t="0" r="19685" b="27940"/>
                <wp:wrapNone/>
                <wp:docPr id="6" name="Rectangle 6"/>
                <wp:cNvGraphicFramePr/>
                <a:graphic xmlns:a="http://schemas.openxmlformats.org/drawingml/2006/main">
                  <a:graphicData uri="http://schemas.microsoft.com/office/word/2010/wordprocessingShape">
                    <wps:wsp>
                      <wps:cNvSpPr/>
                      <wps:spPr>
                        <a:xfrm>
                          <a:off x="0" y="0"/>
                          <a:ext cx="2456953" cy="620202"/>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0BC3915C" id="Rectangle 6" o:spid="_x0000_s1026" style="position:absolute;margin-left:149pt;margin-top:-3.75pt;width:193.45pt;height:48.8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" filled="f" strokecolor="#2f528f" strokeweight="1pt"/>
            </w:pict>
          </mc:Fallback>
        </mc:AlternateContent>
      </w:r>
      <w:r w:rsidRPr="00092A8C">
        <w:rPr>
          <w:b/>
          <w:bCs/>
        </w:rPr>
        <w:t>Potential Political Shock Event</w:t>
      </w:r>
    </w:p>
    <w:p w14:paraId="1F813985" w14:textId="77777777" w:rsidR="009B25AC" w:rsidRPr="00092A8C" w:rsidRDefault="009B25AC" w:rsidP="009B25AC">
      <w:pPr>
        <w:jc w:val="center"/>
      </w:pPr>
      <w:r w:rsidRPr="00092A8C">
        <w:t>Endogenous              Exogeneous</w:t>
      </w:r>
    </w:p>
    <w:p w14:paraId="3B887597" w14:textId="77777777" w:rsidR="009B25AC" w:rsidRPr="00092A8C" w:rsidRDefault="009B25AC" w:rsidP="009B25AC">
      <w:pPr>
        <w:jc w:val="center"/>
      </w:pPr>
      <w:r w:rsidRPr="00092A8C">
        <w:rPr>
          <w:noProof/>
        </w:rPr>
        <mc:AlternateContent>
          <mc:Choice Requires="wps">
            <w:drawing>
              <wp:anchor distT="0" distB="0" distL="114300" distR="114300" simplePos="0" relativeHeight="251701248" behindDoc="0" locked="0" layoutInCell="1" allowOverlap="1" wp14:anchorId="517EC3E7" wp14:editId="072E5ECC">
                <wp:simplePos x="0" y="0"/>
                <wp:positionH relativeFrom="column">
                  <wp:posOffset>2926080</wp:posOffset>
                </wp:positionH>
                <wp:positionV relativeFrom="paragraph">
                  <wp:posOffset>27636</wp:posOffset>
                </wp:positionV>
                <wp:extent cx="500767" cy="428984"/>
                <wp:effectExtent l="0" t="0" r="52070" b="47625"/>
                <wp:wrapNone/>
                <wp:docPr id="3" name="Straight Arrow Connector 3"/>
                <wp:cNvGraphicFramePr/>
                <a:graphic xmlns:a="http://schemas.openxmlformats.org/drawingml/2006/main">
                  <a:graphicData uri="http://schemas.microsoft.com/office/word/2010/wordprocessingShape">
                    <wps:wsp>
                      <wps:cNvCnPr/>
                      <wps:spPr>
                        <a:xfrm>
                          <a:off x="0" y="0"/>
                          <a:ext cx="500767" cy="428984"/>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8E065C1" id="_x0000_t32" coordsize="21600,21600" o:spt="32" o:oned="t" path="m,l21600,21600e" filled="f">
                <v:path arrowok="t" fillok="f" o:connecttype="none"/>
                <o:lock v:ext="edit" shapetype="t"/>
              </v:shapetype>
              <v:shape id="Straight Arrow Connector 3" o:spid="_x0000_s1026" type="#_x0000_t32" style="position:absolute;margin-left:230.4pt;margin-top:2.2pt;width:39.45pt;height:3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" strokecolor="#4472c4" strokeweight=".5pt">
                <v:stroke endarrow="block" joinstyle="miter"/>
              </v:shape>
            </w:pict>
          </mc:Fallback>
        </mc:AlternateContent>
      </w:r>
      <w:r w:rsidRPr="00092A8C">
        <w:rPr>
          <w:noProof/>
        </w:rPr>
        <mc:AlternateContent>
          <mc:Choice Requires="wps">
            <w:drawing>
              <wp:anchor distT="0" distB="0" distL="114300" distR="114300" simplePos="0" relativeHeight="251702272" behindDoc="0" locked="0" layoutInCell="1" allowOverlap="1" wp14:anchorId="18F75E7A" wp14:editId="64F021CB">
                <wp:simplePos x="0" y="0"/>
                <wp:positionH relativeFrom="column">
                  <wp:posOffset>2385060</wp:posOffset>
                </wp:positionH>
                <wp:positionV relativeFrom="paragraph">
                  <wp:posOffset>10795</wp:posOffset>
                </wp:positionV>
                <wp:extent cx="504825" cy="428625"/>
                <wp:effectExtent l="38100" t="0" r="28575" b="47625"/>
                <wp:wrapNone/>
                <wp:docPr id="2" name="Straight Arrow Connector 2"/>
                <wp:cNvGraphicFramePr/>
                <a:graphic xmlns:a="http://schemas.openxmlformats.org/drawingml/2006/main">
                  <a:graphicData uri="http://schemas.microsoft.com/office/word/2010/wordprocessingShape">
                    <wps:wsp>
                      <wps:cNvCnPr/>
                      <wps:spPr>
                        <a:xfrm flipH="1">
                          <a:off x="0" y="0"/>
                          <a:ext cx="504825" cy="4286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189C1D3" id="Straight Arrow Connector 2" o:spid="_x0000_s1026" type="#_x0000_t32" style="position:absolute;margin-left:187.8pt;margin-top:.85pt;width:39.75pt;height:33.7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" strokecolor="#4472c4" strokeweight=".5pt">
                <v:stroke endarrow="block" joinstyle="miter"/>
              </v:shape>
            </w:pict>
          </mc:Fallback>
        </mc:AlternateContent>
      </w:r>
    </w:p>
    <w:p w14:paraId="7D13E643" w14:textId="77777777" w:rsidR="009B25AC" w:rsidRPr="00092A8C" w:rsidRDefault="009B25AC" w:rsidP="009B25AC">
      <w:pPr>
        <w:tabs>
          <w:tab w:val="center" w:pos="4680"/>
        </w:tabs>
      </w:pPr>
      <w:r w:rsidRPr="00242E06">
        <w:rPr>
          <w:b/>
          <w:bCs/>
          <w:noProof/>
        </w:rPr>
        <mc:AlternateContent>
          <mc:Choice Requires="wps">
            <w:drawing>
              <wp:anchor distT="0" distB="0" distL="114300" distR="114300" simplePos="0" relativeHeight="251706368" behindDoc="0" locked="0" layoutInCell="1" allowOverlap="1" wp14:anchorId="6B4D60C7" wp14:editId="1286B20C">
                <wp:simplePos x="0" y="0"/>
                <wp:positionH relativeFrom="column">
                  <wp:posOffset>3546282</wp:posOffset>
                </wp:positionH>
                <wp:positionV relativeFrom="paragraph">
                  <wp:posOffset>13445</wp:posOffset>
                </wp:positionV>
                <wp:extent cx="2129707" cy="738505"/>
                <wp:effectExtent l="0" t="0" r="23495" b="23495"/>
                <wp:wrapNone/>
                <wp:docPr id="8" name="Rectangle 8"/>
                <wp:cNvGraphicFramePr/>
                <a:graphic xmlns:a="http://schemas.openxmlformats.org/drawingml/2006/main">
                  <a:graphicData uri="http://schemas.microsoft.com/office/word/2010/wordprocessingShape">
                    <wps:wsp>
                      <wps:cNvSpPr/>
                      <wps:spPr>
                        <a:xfrm>
                          <a:off x="0" y="0"/>
                          <a:ext cx="2129707" cy="73850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21911C2" id="Rectangle 8" o:spid="_x0000_s1026" style="position:absolute;margin-left:279.25pt;margin-top:1.05pt;width:167.7pt;height:5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" filled="f" strokecolor="#2f528f" strokeweight="1pt"/>
            </w:pict>
          </mc:Fallback>
        </mc:AlternateContent>
      </w:r>
      <w:r w:rsidRPr="00242E06">
        <w:rPr>
          <w:b/>
          <w:bCs/>
        </w:rPr>
        <w:t>B</w:t>
      </w:r>
      <w:r>
        <w:tab/>
      </w:r>
      <w:r w:rsidRPr="00092A8C">
        <w:rPr>
          <w:noProof/>
        </w:rPr>
        <mc:AlternateContent>
          <mc:Choice Requires="wps">
            <w:drawing>
              <wp:anchor distT="0" distB="0" distL="114300" distR="114300" simplePos="0" relativeHeight="251705344" behindDoc="0" locked="0" layoutInCell="1" allowOverlap="1" wp14:anchorId="546944A9" wp14:editId="657BDA1D">
                <wp:simplePos x="0" y="0"/>
                <wp:positionH relativeFrom="column">
                  <wp:posOffset>63251</wp:posOffset>
                </wp:positionH>
                <wp:positionV relativeFrom="paragraph">
                  <wp:posOffset>1298</wp:posOffset>
                </wp:positionV>
                <wp:extent cx="2274073" cy="779228"/>
                <wp:effectExtent l="0" t="0" r="12065" b="20955"/>
                <wp:wrapNone/>
                <wp:docPr id="7" name="Rectangle 7"/>
                <wp:cNvGraphicFramePr/>
                <a:graphic xmlns:a="http://schemas.openxmlformats.org/drawingml/2006/main">
                  <a:graphicData uri="http://schemas.microsoft.com/office/word/2010/wordprocessingShape">
                    <wps:wsp>
                      <wps:cNvSpPr/>
                      <wps:spPr>
                        <a:xfrm>
                          <a:off x="0" y="0"/>
                          <a:ext cx="2274073" cy="779228"/>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3E1A946" id="Rectangle 7" o:spid="_x0000_s1026" style="position:absolute;margin-left:5pt;margin-top:.1pt;width:179.05pt;height:61.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" filled="f" strokecolor="#2f528f" strokeweight="1pt"/>
            </w:pict>
          </mc:Fallback>
        </mc:AlternateContent>
      </w:r>
      <w:r w:rsidRPr="00092A8C">
        <w:t xml:space="preserve">No major disturbance to status quo                           </w:t>
      </w:r>
      <w:r>
        <w:t xml:space="preserve">         </w:t>
      </w:r>
      <w:r w:rsidRPr="00242E06">
        <w:rPr>
          <w:b/>
          <w:bCs/>
        </w:rPr>
        <w:t>C</w:t>
      </w:r>
      <w:r>
        <w:t xml:space="preserve">          </w:t>
      </w:r>
      <w:r w:rsidRPr="00092A8C">
        <w:t>Major disturbance to status quo</w:t>
      </w:r>
    </w:p>
    <w:p w14:paraId="7F759252" w14:textId="77777777" w:rsidR="009B25AC" w:rsidRPr="00092A8C" w:rsidRDefault="009B25AC" w:rsidP="009B25AC">
      <w:pPr>
        <w:tabs>
          <w:tab w:val="left" w:pos="7776"/>
        </w:tabs>
      </w:pPr>
      <w:r>
        <w:t xml:space="preserve">                                 =</w:t>
      </w:r>
      <w:r>
        <w:tab/>
        <w:t>=</w:t>
      </w:r>
    </w:p>
    <w:p w14:paraId="5C7B48E7" w14:textId="77777777" w:rsidR="009B25AC" w:rsidRPr="00092A8C" w:rsidRDefault="009B25AC" w:rsidP="009B25AC">
      <w:r w:rsidRPr="00092A8C">
        <w:rPr>
          <w:noProof/>
        </w:rPr>
        <mc:AlternateContent>
          <mc:Choice Requires="wps">
            <w:drawing>
              <wp:anchor distT="0" distB="0" distL="114300" distR="114300" simplePos="0" relativeHeight="251703296" behindDoc="0" locked="0" layoutInCell="1" allowOverlap="1" wp14:anchorId="5B6B78C1" wp14:editId="4504655F">
                <wp:simplePos x="0" y="0"/>
                <wp:positionH relativeFrom="column">
                  <wp:posOffset>4166483</wp:posOffset>
                </wp:positionH>
                <wp:positionV relativeFrom="paragraph">
                  <wp:posOffset>225756</wp:posOffset>
                </wp:positionV>
                <wp:extent cx="198783" cy="413468"/>
                <wp:effectExtent l="0" t="0" r="48895" b="62865"/>
                <wp:wrapNone/>
                <wp:docPr id="9" name="Straight Arrow Connector 9"/>
                <wp:cNvGraphicFramePr/>
                <a:graphic xmlns:a="http://schemas.openxmlformats.org/drawingml/2006/main">
                  <a:graphicData uri="http://schemas.microsoft.com/office/word/2010/wordprocessingShape">
                    <wps:wsp>
                      <wps:cNvCnPr/>
                      <wps:spPr>
                        <a:xfrm>
                          <a:off x="0" y="0"/>
                          <a:ext cx="198783" cy="413468"/>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dtdh="http://schemas.microsoft.com/office/word/2020/wordml/sdtdatahash">
            <w:pict>
              <v:shape w14:anchorId="10A9499D" id="Straight Arrow Connector 9" o:spid="_x0000_s1026" type="#_x0000_t32" style="position:absolute;margin-left:328.05pt;margin-top:17.8pt;width:15.65pt;height:32.5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" strokecolor="#4472c4" strokeweight=".5pt">
                <v:stroke endarrow="block" joinstyle="miter"/>
              </v:shape>
            </w:pict>
          </mc:Fallback>
        </mc:AlternateContent>
      </w:r>
      <w:r w:rsidRPr="00092A8C">
        <w:t xml:space="preserve">                          No actual political shock</w:t>
      </w:r>
      <w:r w:rsidRPr="00092A8C">
        <w:tab/>
      </w:r>
      <w:r w:rsidRPr="00092A8C">
        <w:tab/>
      </w:r>
      <w:r w:rsidRPr="00092A8C">
        <w:tab/>
        <w:t xml:space="preserve">  </w:t>
      </w:r>
      <w:r>
        <w:t xml:space="preserve">                            </w:t>
      </w:r>
      <w:r w:rsidRPr="00092A8C">
        <w:rPr>
          <w:b/>
          <w:bCs/>
        </w:rPr>
        <w:t>Actual Political Shock</w:t>
      </w:r>
    </w:p>
    <w:p w14:paraId="00A89C2A" w14:textId="77777777" w:rsidR="009B25AC" w:rsidRPr="00092A8C" w:rsidRDefault="009B25AC" w:rsidP="009B25AC"/>
    <w:p w14:paraId="5F7BAD5B" w14:textId="77777777" w:rsidR="009B25AC" w:rsidRPr="00242E06" w:rsidRDefault="009B25AC" w:rsidP="009B25AC">
      <w:pPr>
        <w:tabs>
          <w:tab w:val="left" w:pos="720"/>
          <w:tab w:val="left" w:pos="1440"/>
          <w:tab w:val="left" w:pos="2160"/>
          <w:tab w:val="left" w:pos="2880"/>
          <w:tab w:val="left" w:pos="3600"/>
          <w:tab w:val="left" w:pos="4320"/>
          <w:tab w:val="left" w:pos="4771"/>
        </w:tabs>
        <w:rPr>
          <w:b/>
          <w:bCs/>
        </w:rPr>
      </w:pPr>
      <w:r w:rsidRPr="00092A8C">
        <w:rPr>
          <w:noProof/>
        </w:rPr>
        <mc:AlternateContent>
          <mc:Choice Requires="wps">
            <w:drawing>
              <wp:anchor distT="0" distB="0" distL="114300" distR="114300" simplePos="0" relativeHeight="251707392" behindDoc="0" locked="0" layoutInCell="1" allowOverlap="1" wp14:anchorId="54B1BE82" wp14:editId="41E668A1">
                <wp:simplePos x="0" y="0"/>
                <wp:positionH relativeFrom="column">
                  <wp:posOffset>3108298</wp:posOffset>
                </wp:positionH>
                <wp:positionV relativeFrom="paragraph">
                  <wp:posOffset>122444</wp:posOffset>
                </wp:positionV>
                <wp:extent cx="2655736" cy="890546"/>
                <wp:effectExtent l="0" t="0" r="11430" b="24130"/>
                <wp:wrapNone/>
                <wp:docPr id="10" name="Rectangle 10"/>
                <wp:cNvGraphicFramePr/>
                <a:graphic xmlns:a="http://schemas.openxmlformats.org/drawingml/2006/main">
                  <a:graphicData uri="http://schemas.microsoft.com/office/word/2010/wordprocessingShape">
                    <wps:wsp>
                      <wps:cNvSpPr/>
                      <wps:spPr>
                        <a:xfrm>
                          <a:off x="0" y="0"/>
                          <a:ext cx="2655736" cy="890546"/>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3305317" id="Rectangle 10" o:spid="_x0000_s1026" style="position:absolute;margin-left:244.75pt;margin-top:9.65pt;width:209.1pt;height:70.1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" filled="f" strokecolor="#2f528f" strokeweight="1pt"/>
            </w:pict>
          </mc:Fallback>
        </mc:AlternateContent>
      </w:r>
      <w:r w:rsidRPr="00092A8C">
        <w:tab/>
      </w:r>
      <w:r w:rsidRPr="00092A8C">
        <w:tab/>
      </w:r>
      <w:r w:rsidRPr="00092A8C">
        <w:tab/>
      </w:r>
      <w:r w:rsidRPr="00092A8C">
        <w:tab/>
      </w:r>
      <w:r w:rsidRPr="00092A8C">
        <w:tab/>
      </w:r>
      <w:r w:rsidRPr="00092A8C">
        <w:tab/>
      </w:r>
      <w:r>
        <w:tab/>
      </w:r>
      <w:r w:rsidRPr="00242E06">
        <w:rPr>
          <w:b/>
          <w:bCs/>
        </w:rPr>
        <w:t>D</w:t>
      </w:r>
    </w:p>
    <w:p w14:paraId="26B65B72" w14:textId="77777777" w:rsidR="009B25AC" w:rsidRPr="00092A8C" w:rsidRDefault="009B25AC" w:rsidP="009B25AC">
      <w:r w:rsidRPr="00092A8C">
        <w:tab/>
        <w:t xml:space="preserve">                                                                                       Uncertainties created regarding state’s</w:t>
      </w:r>
    </w:p>
    <w:p w14:paraId="3CDEEC1F" w14:textId="77777777" w:rsidR="009B25AC" w:rsidRPr="00092A8C" w:rsidRDefault="009B25AC" w:rsidP="009B25AC">
      <w:r w:rsidRPr="00092A8C">
        <w:tab/>
      </w:r>
      <w:r w:rsidRPr="00092A8C">
        <w:tab/>
      </w:r>
      <w:r w:rsidRPr="00092A8C">
        <w:tab/>
      </w:r>
      <w:r w:rsidRPr="00092A8C">
        <w:tab/>
      </w:r>
      <w:r w:rsidRPr="00092A8C">
        <w:tab/>
      </w:r>
      <w:r w:rsidRPr="00092A8C">
        <w:tab/>
      </w:r>
      <w:r w:rsidRPr="00092A8C">
        <w:tab/>
        <w:t xml:space="preserve">                Security environment</w:t>
      </w:r>
    </w:p>
    <w:p w14:paraId="4F153495" w14:textId="77777777" w:rsidR="009B25AC" w:rsidRPr="00092A8C" w:rsidRDefault="009B25AC" w:rsidP="009B25AC">
      <w:r w:rsidRPr="00092A8C">
        <w:rPr>
          <w:noProof/>
        </w:rPr>
        <mc:AlternateContent>
          <mc:Choice Requires="wps">
            <w:drawing>
              <wp:anchor distT="0" distB="0" distL="114300" distR="114300" simplePos="0" relativeHeight="251711488" behindDoc="0" locked="0" layoutInCell="1" allowOverlap="1" wp14:anchorId="3F48B571" wp14:editId="6365786E">
                <wp:simplePos x="0" y="0"/>
                <wp:positionH relativeFrom="column">
                  <wp:posOffset>2757445</wp:posOffset>
                </wp:positionH>
                <wp:positionV relativeFrom="paragraph">
                  <wp:posOffset>165266</wp:posOffset>
                </wp:positionV>
                <wp:extent cx="566199" cy="572328"/>
                <wp:effectExtent l="38100" t="0" r="24765" b="56515"/>
                <wp:wrapNone/>
                <wp:docPr id="16" name="Straight Arrow Connector 16"/>
                <wp:cNvGraphicFramePr/>
                <a:graphic xmlns:a="http://schemas.openxmlformats.org/drawingml/2006/main">
                  <a:graphicData uri="http://schemas.microsoft.com/office/word/2010/wordprocessingShape">
                    <wps:wsp>
                      <wps:cNvCnPr/>
                      <wps:spPr>
                        <a:xfrm flipH="1">
                          <a:off x="0" y="0"/>
                          <a:ext cx="566199" cy="572328"/>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0A97CE9" id="Straight Arrow Connector 16" o:spid="_x0000_s1026" type="#_x0000_t32" style="position:absolute;margin-left:217.1pt;margin-top:13pt;width:44.6pt;height:45.0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" strokecolor="#4472c4" strokeweight=".5pt">
                <v:stroke endarrow="block" joinstyle="miter"/>
              </v:shape>
            </w:pict>
          </mc:Fallback>
        </mc:AlternateContent>
      </w:r>
      <w:r w:rsidRPr="00092A8C">
        <w:tab/>
      </w:r>
      <w:r w:rsidRPr="00092A8C">
        <w:tab/>
      </w:r>
      <w:r w:rsidRPr="00092A8C">
        <w:tab/>
      </w:r>
      <w:r w:rsidRPr="00092A8C">
        <w:tab/>
      </w:r>
      <w:r w:rsidRPr="00092A8C">
        <w:tab/>
      </w:r>
      <w:r w:rsidRPr="00092A8C">
        <w:tab/>
      </w:r>
      <w:r w:rsidRPr="00092A8C">
        <w:tab/>
        <w:t xml:space="preserve">       (both external and internal security)</w:t>
      </w:r>
    </w:p>
    <w:p w14:paraId="7B8F115D" w14:textId="77777777" w:rsidR="009B25AC" w:rsidRPr="00092A8C" w:rsidRDefault="009B25AC" w:rsidP="009B25AC"/>
    <w:p w14:paraId="3A9A29CD" w14:textId="77777777" w:rsidR="009B25AC" w:rsidRPr="00092A8C" w:rsidRDefault="009B25AC" w:rsidP="009B25AC"/>
    <w:p w14:paraId="4742719E" w14:textId="77777777" w:rsidR="009B25AC" w:rsidRDefault="009B25AC" w:rsidP="009B25AC">
      <w:r w:rsidRPr="00242E06">
        <w:rPr>
          <w:b/>
          <w:bCs/>
          <w:noProof/>
        </w:rPr>
        <mc:AlternateContent>
          <mc:Choice Requires="wps">
            <w:drawing>
              <wp:anchor distT="0" distB="0" distL="114300" distR="114300" simplePos="0" relativeHeight="251708416" behindDoc="0" locked="0" layoutInCell="1" allowOverlap="1" wp14:anchorId="46C9FFA2" wp14:editId="4E60C45D">
                <wp:simplePos x="0" y="0"/>
                <wp:positionH relativeFrom="column">
                  <wp:posOffset>246490</wp:posOffset>
                </wp:positionH>
                <wp:positionV relativeFrom="paragraph">
                  <wp:posOffset>11071</wp:posOffset>
                </wp:positionV>
                <wp:extent cx="3371215" cy="1661823"/>
                <wp:effectExtent l="0" t="0" r="19685" b="14605"/>
                <wp:wrapNone/>
                <wp:docPr id="11" name="Rectangle 11"/>
                <wp:cNvGraphicFramePr/>
                <a:graphic xmlns:a="http://schemas.openxmlformats.org/drawingml/2006/main">
                  <a:graphicData uri="http://schemas.microsoft.com/office/word/2010/wordprocessingShape">
                    <wps:wsp>
                      <wps:cNvSpPr/>
                      <wps:spPr>
                        <a:xfrm>
                          <a:off x="0" y="0"/>
                          <a:ext cx="3371215" cy="1661823"/>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F9F0731" id="Rectangle 11" o:spid="_x0000_s1026" style="position:absolute;margin-left:19.4pt;margin-top:.85pt;width:265.45pt;height:130.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" filled="f" strokecolor="#2f528f" strokeweight="1pt"/>
            </w:pict>
          </mc:Fallback>
        </mc:AlternateContent>
      </w:r>
      <w:r w:rsidRPr="00242E06">
        <w:rPr>
          <w:b/>
          <w:bCs/>
        </w:rPr>
        <w:t xml:space="preserve">   E</w:t>
      </w:r>
      <w:r>
        <w:t xml:space="preserve">    P</w:t>
      </w:r>
      <w:r w:rsidRPr="00092A8C">
        <w:t xml:space="preserve">olicymakers </w:t>
      </w:r>
      <w:r>
        <w:t>reassess</w:t>
      </w:r>
      <w:r w:rsidRPr="00092A8C">
        <w:t xml:space="preserve"> evaluation of extant</w:t>
      </w:r>
      <w:r>
        <w:t xml:space="preserve"> policies;</w:t>
      </w:r>
    </w:p>
    <w:p w14:paraId="5B0D9390" w14:textId="77777777" w:rsidR="009B25AC" w:rsidRPr="00092A8C" w:rsidRDefault="009B25AC" w:rsidP="009B25AC">
      <w:r>
        <w:t xml:space="preserve">         </w:t>
      </w:r>
      <w:r w:rsidRPr="00092A8C">
        <w:t xml:space="preserve">Policymakers’ evaluations of changing </w:t>
      </w:r>
      <w:r>
        <w:t>political conditions;</w:t>
      </w:r>
    </w:p>
    <w:p w14:paraId="32E2DAFF" w14:textId="77777777" w:rsidR="009B25AC" w:rsidRPr="00092A8C" w:rsidRDefault="009B25AC" w:rsidP="009B25AC">
      <w:r w:rsidRPr="00092A8C">
        <w:rPr>
          <w:noProof/>
        </w:rPr>
        <mc:AlternateContent>
          <mc:Choice Requires="wps">
            <w:drawing>
              <wp:anchor distT="0" distB="0" distL="114300" distR="114300" simplePos="0" relativeHeight="251712512" behindDoc="0" locked="0" layoutInCell="1" allowOverlap="1" wp14:anchorId="715A0DCE" wp14:editId="26D098DD">
                <wp:simplePos x="0" y="0"/>
                <wp:positionH relativeFrom="column">
                  <wp:posOffset>3689406</wp:posOffset>
                </wp:positionH>
                <wp:positionV relativeFrom="paragraph">
                  <wp:posOffset>115432</wp:posOffset>
                </wp:positionV>
                <wp:extent cx="1192696" cy="1470991"/>
                <wp:effectExtent l="0" t="0" r="83820" b="53340"/>
                <wp:wrapNone/>
                <wp:docPr id="17" name="Straight Arrow Connector 17"/>
                <wp:cNvGraphicFramePr/>
                <a:graphic xmlns:a="http://schemas.openxmlformats.org/drawingml/2006/main">
                  <a:graphicData uri="http://schemas.microsoft.com/office/word/2010/wordprocessingShape">
                    <wps:wsp>
                      <wps:cNvCnPr/>
                      <wps:spPr>
                        <a:xfrm>
                          <a:off x="0" y="0"/>
                          <a:ext cx="1192696" cy="1470991"/>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F0F01F7" id="Straight Arrow Connector 17" o:spid="_x0000_s1026" type="#_x0000_t32" style="position:absolute;margin-left:290.5pt;margin-top:9.1pt;width:93.9pt;height:115.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" strokecolor="#4472c4" strokeweight=".5pt">
                <v:stroke endarrow="block" joinstyle="miter"/>
              </v:shape>
            </w:pict>
          </mc:Fallback>
        </mc:AlternateContent>
      </w:r>
      <w:r>
        <w:t xml:space="preserve">          </w:t>
      </w:r>
      <w:r w:rsidRPr="00092A8C">
        <w:t>Increased role of policy entrepreneurs</w:t>
      </w:r>
      <w:r>
        <w:t>;</w:t>
      </w:r>
    </w:p>
    <w:p w14:paraId="43F840C1" w14:textId="77777777" w:rsidR="009B25AC" w:rsidRDefault="009B25AC" w:rsidP="009B25AC">
      <w:r>
        <w:t xml:space="preserve">          </w:t>
      </w:r>
      <w:r w:rsidRPr="00092A8C">
        <w:t xml:space="preserve">External third-party pressures; </w:t>
      </w:r>
    </w:p>
    <w:p w14:paraId="25D8F6F8" w14:textId="77777777" w:rsidR="009B25AC" w:rsidRPr="00092A8C" w:rsidRDefault="009B25AC" w:rsidP="009B25AC">
      <w:r>
        <w:t xml:space="preserve">          I</w:t>
      </w:r>
      <w:r w:rsidRPr="00092A8C">
        <w:t>nternal</w:t>
      </w:r>
      <w:r>
        <w:t xml:space="preserve"> </w:t>
      </w:r>
      <w:r w:rsidRPr="00092A8C">
        <w:t>pressures by salient political groups</w:t>
      </w:r>
      <w:r>
        <w:t>;</w:t>
      </w:r>
    </w:p>
    <w:p w14:paraId="0F874D2E" w14:textId="77777777" w:rsidR="009B25AC" w:rsidRPr="00092A8C" w:rsidRDefault="009B25AC" w:rsidP="009B25AC">
      <w:r>
        <w:rPr>
          <w:noProof/>
        </w:rPr>
        <mc:AlternateContent>
          <mc:Choice Requires="wps">
            <w:drawing>
              <wp:anchor distT="0" distB="0" distL="114300" distR="114300" simplePos="0" relativeHeight="251716608" behindDoc="0" locked="0" layoutInCell="1" allowOverlap="1" wp14:anchorId="2B852809" wp14:editId="2E5D9B44">
                <wp:simplePos x="0" y="0"/>
                <wp:positionH relativeFrom="column">
                  <wp:posOffset>2623930</wp:posOffset>
                </wp:positionH>
                <wp:positionV relativeFrom="paragraph">
                  <wp:posOffset>86415</wp:posOffset>
                </wp:positionV>
                <wp:extent cx="1653872" cy="620202"/>
                <wp:effectExtent l="0" t="38100" r="60960" b="27940"/>
                <wp:wrapNone/>
                <wp:docPr id="4" name="Straight Arrow Connector 4"/>
                <wp:cNvGraphicFramePr/>
                <a:graphic xmlns:a="http://schemas.openxmlformats.org/drawingml/2006/main">
                  <a:graphicData uri="http://schemas.microsoft.com/office/word/2010/wordprocessingShape">
                    <wps:wsp>
                      <wps:cNvCnPr/>
                      <wps:spPr>
                        <a:xfrm flipV="1">
                          <a:off x="0" y="0"/>
                          <a:ext cx="1653872" cy="620202"/>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dtdh="http://schemas.microsoft.com/office/word/2020/wordml/sdtdatahash">
            <w:pict>
              <v:shape w14:anchorId="6113296F" id="Straight Arrow Connector 4" o:spid="_x0000_s1026" type="#_x0000_t32" style="position:absolute;margin-left:206.6pt;margin-top:6.8pt;width:130.25pt;height:48.8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" strokecolor="#4472c4" strokeweight=".5pt">
                <v:stroke endarrow="block" joinstyle="miter"/>
              </v:shape>
            </w:pict>
          </mc:Fallback>
        </mc:AlternateContent>
      </w:r>
      <w:r>
        <w:t xml:space="preserve">          </w:t>
      </w:r>
      <w:r w:rsidRPr="00092A8C">
        <w:t xml:space="preserve">Governmental capacity to change </w:t>
      </w:r>
    </w:p>
    <w:p w14:paraId="54A8A352" w14:textId="77777777" w:rsidR="009B25AC" w:rsidRPr="00092A8C" w:rsidRDefault="009B25AC" w:rsidP="009B25AC">
      <w:r>
        <w:rPr>
          <w:noProof/>
        </w:rPr>
        <mc:AlternateContent>
          <mc:Choice Requires="wps">
            <w:drawing>
              <wp:anchor distT="0" distB="0" distL="114300" distR="114300" simplePos="0" relativeHeight="251714560" behindDoc="0" locked="0" layoutInCell="1" allowOverlap="1" wp14:anchorId="581A49CE" wp14:editId="038E5655">
                <wp:simplePos x="0" y="0"/>
                <wp:positionH relativeFrom="column">
                  <wp:posOffset>620202</wp:posOffset>
                </wp:positionH>
                <wp:positionV relativeFrom="paragraph">
                  <wp:posOffset>253890</wp:posOffset>
                </wp:positionV>
                <wp:extent cx="1956021" cy="437321"/>
                <wp:effectExtent l="0" t="0" r="25400" b="20320"/>
                <wp:wrapNone/>
                <wp:docPr id="18" name="Rectangle 18"/>
                <wp:cNvGraphicFramePr/>
                <a:graphic xmlns:a="http://schemas.openxmlformats.org/drawingml/2006/main">
                  <a:graphicData uri="http://schemas.microsoft.com/office/word/2010/wordprocessingShape">
                    <wps:wsp>
                      <wps:cNvSpPr/>
                      <wps:spPr>
                        <a:xfrm>
                          <a:off x="0" y="0"/>
                          <a:ext cx="1956021" cy="437321"/>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5CAD6F5" id="Rectangle 18" o:spid="_x0000_s1026" style="position:absolute;margin-left:48.85pt;margin-top:20pt;width:154pt;height:34.4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" filled="f" strokecolor="#2f528f" strokeweight="1pt"/>
            </w:pict>
          </mc:Fallback>
        </mc:AlternateContent>
      </w:r>
    </w:p>
    <w:p w14:paraId="648E50D0" w14:textId="77777777" w:rsidR="009B25AC" w:rsidRPr="00092A8C" w:rsidRDefault="009B25AC" w:rsidP="009B25AC">
      <w:pPr>
        <w:tabs>
          <w:tab w:val="left" w:pos="739"/>
          <w:tab w:val="left" w:pos="1190"/>
          <w:tab w:val="left" w:pos="6061"/>
        </w:tabs>
      </w:pPr>
      <w:r>
        <w:rPr>
          <w:noProof/>
        </w:rPr>
        <mc:AlternateContent>
          <mc:Choice Requires="wps">
            <w:drawing>
              <wp:anchor distT="0" distB="0" distL="114300" distR="114300" simplePos="0" relativeHeight="251715584" behindDoc="0" locked="0" layoutInCell="1" allowOverlap="1" wp14:anchorId="06929CFA" wp14:editId="419CC8BC">
                <wp:simplePos x="0" y="0"/>
                <wp:positionH relativeFrom="column">
                  <wp:posOffset>2623930</wp:posOffset>
                </wp:positionH>
                <wp:positionV relativeFrom="paragraph">
                  <wp:posOffset>158641</wp:posOffset>
                </wp:positionV>
                <wp:extent cx="890050" cy="524868"/>
                <wp:effectExtent l="0" t="0" r="81915" b="66040"/>
                <wp:wrapNone/>
                <wp:docPr id="19" name="Straight Arrow Connector 19"/>
                <wp:cNvGraphicFramePr/>
                <a:graphic xmlns:a="http://schemas.openxmlformats.org/drawingml/2006/main">
                  <a:graphicData uri="http://schemas.microsoft.com/office/word/2010/wordprocessingShape">
                    <wps:wsp>
                      <wps:cNvCnPr/>
                      <wps:spPr>
                        <a:xfrm>
                          <a:off x="0" y="0"/>
                          <a:ext cx="890050" cy="524868"/>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D519409" id="Straight Arrow Connector 19" o:spid="_x0000_s1026" type="#_x0000_t32" style="position:absolute;margin-left:206.6pt;margin-top:12.5pt;width:70.1pt;height:4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" strokecolor="#4472c4" strokeweight=".5pt">
                <v:stroke endarrow="block" joinstyle="miter"/>
              </v:shape>
            </w:pict>
          </mc:Fallback>
        </mc:AlternateContent>
      </w:r>
      <w:r w:rsidRPr="00092A8C">
        <w:rPr>
          <w:noProof/>
        </w:rPr>
        <mc:AlternateContent>
          <mc:Choice Requires="wps">
            <w:drawing>
              <wp:anchor distT="0" distB="0" distL="114300" distR="114300" simplePos="0" relativeHeight="251709440" behindDoc="0" locked="0" layoutInCell="1" allowOverlap="1" wp14:anchorId="36CDAAB1" wp14:editId="0B1A0C57">
                <wp:simplePos x="0" y="0"/>
                <wp:positionH relativeFrom="column">
                  <wp:posOffset>3991555</wp:posOffset>
                </wp:positionH>
                <wp:positionV relativeFrom="paragraph">
                  <wp:posOffset>220207</wp:posOffset>
                </wp:positionV>
                <wp:extent cx="1709530" cy="524786"/>
                <wp:effectExtent l="0" t="0" r="24130" b="27940"/>
                <wp:wrapNone/>
                <wp:docPr id="12" name="Rectangle 12"/>
                <wp:cNvGraphicFramePr/>
                <a:graphic xmlns:a="http://schemas.openxmlformats.org/drawingml/2006/main">
                  <a:graphicData uri="http://schemas.microsoft.com/office/word/2010/wordprocessingShape">
                    <wps:wsp>
                      <wps:cNvSpPr/>
                      <wps:spPr>
                        <a:xfrm>
                          <a:off x="0" y="0"/>
                          <a:ext cx="1709530" cy="524786"/>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7AF9527A" id="Rectangle 12" o:spid="_x0000_s1026" style="position:absolute;margin-left:314.3pt;margin-top:17.35pt;width:134.6pt;height:41.3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" filled="f" strokecolor="#2f528f" strokeweight="1pt"/>
            </w:pict>
          </mc:Fallback>
        </mc:AlternateContent>
      </w:r>
      <w:r w:rsidRPr="00092A8C">
        <w:tab/>
      </w:r>
      <w:r w:rsidRPr="00242E06">
        <w:rPr>
          <w:b/>
          <w:bCs/>
        </w:rPr>
        <w:t>G</w:t>
      </w:r>
      <w:r>
        <w:tab/>
        <w:t>Principal/actor problems</w:t>
      </w:r>
      <w:r>
        <w:tab/>
      </w:r>
      <w:r w:rsidRPr="00242E06">
        <w:rPr>
          <w:b/>
          <w:bCs/>
        </w:rPr>
        <w:t>F</w:t>
      </w:r>
    </w:p>
    <w:p w14:paraId="42BF151A" w14:textId="77777777" w:rsidR="009B25AC" w:rsidRPr="00092A8C" w:rsidRDefault="009B25AC" w:rsidP="009B25AC">
      <w:pPr>
        <w:tabs>
          <w:tab w:val="left" w:pos="1190"/>
        </w:tabs>
      </w:pPr>
      <w:r w:rsidRPr="00092A8C">
        <w:rPr>
          <w:noProof/>
        </w:rPr>
        <mc:AlternateContent>
          <mc:Choice Requires="wps">
            <w:drawing>
              <wp:anchor distT="0" distB="0" distL="114300" distR="114300" simplePos="0" relativeHeight="251710464" behindDoc="0" locked="0" layoutInCell="1" allowOverlap="1" wp14:anchorId="01581663" wp14:editId="2B5F90F5">
                <wp:simplePos x="0" y="0"/>
                <wp:positionH relativeFrom="column">
                  <wp:posOffset>3220168</wp:posOffset>
                </wp:positionH>
                <wp:positionV relativeFrom="paragraph">
                  <wp:posOffset>164824</wp:posOffset>
                </wp:positionV>
                <wp:extent cx="739472" cy="580445"/>
                <wp:effectExtent l="38100" t="0" r="22860" b="48260"/>
                <wp:wrapNone/>
                <wp:docPr id="15" name="Straight Arrow Connector 15"/>
                <wp:cNvGraphicFramePr/>
                <a:graphic xmlns:a="http://schemas.openxmlformats.org/drawingml/2006/main">
                  <a:graphicData uri="http://schemas.microsoft.com/office/word/2010/wordprocessingShape">
                    <wps:wsp>
                      <wps:cNvCnPr/>
                      <wps:spPr>
                        <a:xfrm flipH="1">
                          <a:off x="0" y="0"/>
                          <a:ext cx="739472" cy="58044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dtdh="http://schemas.microsoft.com/office/word/2020/wordml/sdtdatahash">
            <w:pict>
              <v:shape w14:anchorId="0106B078" id="Straight Arrow Connector 15" o:spid="_x0000_s1026" type="#_x0000_t32" style="position:absolute;margin-left:253.55pt;margin-top:13pt;width:58.25pt;height:45.7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" strokecolor="#4472c4" strokeweight=".5pt">
                <v:stroke endarrow="block" joinstyle="miter"/>
              </v:shape>
            </w:pict>
          </mc:Fallback>
        </mc:AlternateContent>
      </w:r>
      <w:r w:rsidRPr="00092A8C">
        <w:tab/>
      </w:r>
      <w:r w:rsidRPr="00092A8C">
        <w:tab/>
      </w:r>
      <w:r w:rsidRPr="00092A8C">
        <w:tab/>
      </w:r>
      <w:r w:rsidRPr="00092A8C">
        <w:tab/>
      </w:r>
      <w:r w:rsidRPr="00092A8C">
        <w:tab/>
      </w:r>
      <w:r w:rsidRPr="00092A8C">
        <w:tab/>
      </w:r>
      <w:r w:rsidRPr="00092A8C">
        <w:tab/>
      </w:r>
      <w:r w:rsidRPr="00092A8C">
        <w:tab/>
      </w:r>
      <w:r w:rsidRPr="00092A8C">
        <w:tab/>
        <w:t>Major Policy Change(s)</w:t>
      </w:r>
    </w:p>
    <w:p w14:paraId="3799629C" w14:textId="77777777" w:rsidR="009B25AC" w:rsidRPr="00092A8C" w:rsidRDefault="009B25AC" w:rsidP="009B25AC">
      <w:pPr>
        <w:tabs>
          <w:tab w:val="left" w:pos="1190"/>
        </w:tabs>
      </w:pPr>
      <w:r>
        <w:rPr>
          <w:noProof/>
        </w:rPr>
        <mc:AlternateContent>
          <mc:Choice Requires="wps">
            <w:drawing>
              <wp:anchor distT="0" distB="0" distL="114300" distR="114300" simplePos="0" relativeHeight="251713536" behindDoc="0" locked="0" layoutInCell="1" allowOverlap="1" wp14:anchorId="0C48DB4E" wp14:editId="6211E536">
                <wp:simplePos x="0" y="0"/>
                <wp:positionH relativeFrom="column">
                  <wp:posOffset>1152939</wp:posOffset>
                </wp:positionH>
                <wp:positionV relativeFrom="paragraph">
                  <wp:posOffset>192736</wp:posOffset>
                </wp:positionV>
                <wp:extent cx="2011680" cy="516835"/>
                <wp:effectExtent l="0" t="0" r="26670" b="17145"/>
                <wp:wrapNone/>
                <wp:docPr id="13" name="Rectangle 13"/>
                <wp:cNvGraphicFramePr/>
                <a:graphic xmlns:a="http://schemas.openxmlformats.org/drawingml/2006/main">
                  <a:graphicData uri="http://schemas.microsoft.com/office/word/2010/wordprocessingShape">
                    <wps:wsp>
                      <wps:cNvSpPr/>
                      <wps:spPr>
                        <a:xfrm>
                          <a:off x="0" y="0"/>
                          <a:ext cx="2011680" cy="5168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2C77A9BF" id="Rectangle 13" o:spid="_x0000_s1026" style="position:absolute;margin-left:90.8pt;margin-top:15.2pt;width:158.4pt;height:40.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" filled="f" strokecolor="#2f528f" strokeweight="1pt"/>
            </w:pict>
          </mc:Fallback>
        </mc:AlternateContent>
      </w:r>
    </w:p>
    <w:p w14:paraId="1268BE2F" w14:textId="77777777" w:rsidR="009B25AC" w:rsidRPr="00092A8C" w:rsidRDefault="009B25AC" w:rsidP="009B25AC">
      <w:pPr>
        <w:tabs>
          <w:tab w:val="left" w:pos="1190"/>
        </w:tabs>
        <w:rPr>
          <w:b/>
          <w:bCs/>
        </w:rPr>
      </w:pPr>
      <w:r>
        <w:tab/>
      </w:r>
      <w:r>
        <w:tab/>
      </w:r>
      <w:r w:rsidRPr="00242E06">
        <w:rPr>
          <w:b/>
          <w:bCs/>
        </w:rPr>
        <w:t xml:space="preserve">  H</w:t>
      </w:r>
      <w:r>
        <w:tab/>
      </w:r>
      <w:r w:rsidRPr="00FB1731">
        <w:rPr>
          <w:b/>
          <w:bCs/>
        </w:rPr>
        <w:t>Change in State Behavior</w:t>
      </w:r>
    </w:p>
    <w:p w14:paraId="5754DDCD" w14:textId="77777777" w:rsidR="009B25AC" w:rsidRDefault="009B25AC" w:rsidP="009B25AC">
      <w:pPr>
        <w:autoSpaceDE w:val="0"/>
        <w:autoSpaceDN w:val="0"/>
        <w:adjustRightInd w:val="0"/>
        <w:spacing w:after="0" w:line="480" w:lineRule="auto"/>
        <w:rPr>
          <w:rFonts w:ascii="Times New Roman" w:hAnsi="Times New Roman" w:cs="Times New Roman"/>
          <w:sz w:val="24"/>
          <w:szCs w:val="24"/>
        </w:rPr>
      </w:pPr>
    </w:p>
    <w:p w14:paraId="6F972B19" w14:textId="11100CCD" w:rsidR="007F6276" w:rsidRDefault="009B25AC" w:rsidP="009B25AC">
      <w:pPr>
        <w:spacing w:line="480" w:lineRule="auto"/>
      </w:pPr>
      <w:r>
        <w:rPr>
          <w:rFonts w:ascii="Times New Roman" w:hAnsi="Times New Roman" w:cs="Times New Roman"/>
          <w:sz w:val="24"/>
          <w:szCs w:val="24"/>
        </w:rPr>
        <w:t>______________________________________________________________________________</w:t>
      </w:r>
    </w:p>
    <w:sectPr w:rsidR="007F627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F8A6B" w14:textId="77777777" w:rsidR="004835AE" w:rsidRDefault="004835AE" w:rsidP="00E1705E">
      <w:pPr>
        <w:spacing w:after="0" w:line="240" w:lineRule="auto"/>
      </w:pPr>
      <w:r>
        <w:separator/>
      </w:r>
    </w:p>
  </w:endnote>
  <w:endnote w:type="continuationSeparator" w:id="0">
    <w:p w14:paraId="5745F772" w14:textId="77777777" w:rsidR="004835AE" w:rsidRDefault="004835AE" w:rsidP="00E1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369548"/>
      <w:docPartObj>
        <w:docPartGallery w:val="Page Numbers (Bottom of Page)"/>
        <w:docPartUnique/>
      </w:docPartObj>
    </w:sdtPr>
    <w:sdtEndPr>
      <w:rPr>
        <w:noProof/>
      </w:rPr>
    </w:sdtEndPr>
    <w:sdtContent>
      <w:p w14:paraId="11B07EDB" w14:textId="7194CB6B" w:rsidR="00D63381" w:rsidRDefault="00D633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4FE25D" w14:textId="77777777" w:rsidR="00D63381" w:rsidRDefault="00D63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CCD06" w14:textId="77777777" w:rsidR="004835AE" w:rsidRDefault="004835AE" w:rsidP="00E1705E">
      <w:pPr>
        <w:spacing w:after="0" w:line="240" w:lineRule="auto"/>
      </w:pPr>
      <w:r>
        <w:separator/>
      </w:r>
    </w:p>
  </w:footnote>
  <w:footnote w:type="continuationSeparator" w:id="0">
    <w:p w14:paraId="76C07C3A" w14:textId="77777777" w:rsidR="004835AE" w:rsidRDefault="004835AE" w:rsidP="00E1705E">
      <w:pPr>
        <w:spacing w:after="0" w:line="240" w:lineRule="auto"/>
      </w:pPr>
      <w:r>
        <w:continuationSeparator/>
      </w:r>
    </w:p>
  </w:footnote>
  <w:footnote w:id="1">
    <w:p w14:paraId="285BDC89" w14:textId="587CC4E4" w:rsidR="00D63381" w:rsidRDefault="00D63381">
      <w:pPr>
        <w:pStyle w:val="FootnoteText"/>
      </w:pPr>
      <w:r>
        <w:rPr>
          <w:rStyle w:val="FootnoteReference"/>
        </w:rPr>
        <w:footnoteRef/>
      </w:r>
      <w:r>
        <w:t xml:space="preserve"> Political shocks aren’t the sole province of IR scholars. Students of domestic and comparative politics focus as well on political shocks. However, our attention here is primarily on the treatment of political shocks in the IR literature.</w:t>
      </w:r>
    </w:p>
  </w:footnote>
  <w:footnote w:id="2">
    <w:p w14:paraId="41293EDC" w14:textId="77777777" w:rsidR="00D63381" w:rsidRPr="008F6FB8" w:rsidRDefault="00D63381" w:rsidP="001F5F60">
      <w:pPr>
        <w:pStyle w:val="FootnoteText"/>
        <w:spacing w:after="120"/>
        <w:rPr>
          <w:rFonts w:cstheme="minorHAnsi"/>
        </w:rPr>
      </w:pPr>
      <w:r w:rsidRPr="008F6FB8">
        <w:rPr>
          <w:rStyle w:val="FootnoteReference"/>
          <w:rFonts w:cstheme="minorHAnsi"/>
        </w:rPr>
        <w:footnoteRef/>
      </w:r>
      <w:r w:rsidRPr="008F6FB8">
        <w:rPr>
          <w:rFonts w:cstheme="minorHAnsi"/>
        </w:rPr>
        <w:t xml:space="preserve"> The journals reviewed were consistent with TRIP’s evaluation of primary IR research sources: </w:t>
      </w:r>
      <w:r w:rsidRPr="00686346">
        <w:rPr>
          <w:rFonts w:cstheme="minorHAnsi"/>
          <w:i/>
          <w:iCs/>
        </w:rPr>
        <w:t>American Journal of Political Science</w:t>
      </w:r>
      <w:r w:rsidRPr="008F6FB8">
        <w:rPr>
          <w:rFonts w:cstheme="minorHAnsi"/>
        </w:rPr>
        <w:t xml:space="preserve">, </w:t>
      </w:r>
      <w:r w:rsidRPr="00686346">
        <w:rPr>
          <w:rFonts w:cstheme="minorHAnsi"/>
          <w:i/>
          <w:iCs/>
        </w:rPr>
        <w:t>American Political Science Review</w:t>
      </w:r>
      <w:r w:rsidRPr="008F6FB8">
        <w:rPr>
          <w:rFonts w:cstheme="minorHAnsi"/>
        </w:rPr>
        <w:t xml:space="preserve">, </w:t>
      </w:r>
      <w:r w:rsidRPr="00686346">
        <w:rPr>
          <w:rFonts w:cstheme="minorHAnsi"/>
          <w:i/>
          <w:iCs/>
        </w:rPr>
        <w:t>British Journal of Political Science</w:t>
      </w:r>
      <w:r w:rsidRPr="008F6FB8">
        <w:rPr>
          <w:rFonts w:cstheme="minorHAnsi"/>
        </w:rPr>
        <w:t xml:space="preserve">, </w:t>
      </w:r>
      <w:r w:rsidRPr="00686346">
        <w:rPr>
          <w:rFonts w:cstheme="minorHAnsi"/>
          <w:i/>
          <w:iCs/>
        </w:rPr>
        <w:t>Conflict Management and Peace Science</w:t>
      </w:r>
      <w:r w:rsidRPr="008F6FB8">
        <w:rPr>
          <w:rFonts w:cstheme="minorHAnsi"/>
        </w:rPr>
        <w:t xml:space="preserve">, </w:t>
      </w:r>
      <w:r w:rsidRPr="00686346">
        <w:rPr>
          <w:rFonts w:cstheme="minorHAnsi"/>
          <w:i/>
          <w:iCs/>
        </w:rPr>
        <w:t>International Interactions</w:t>
      </w:r>
      <w:r w:rsidRPr="008F6FB8">
        <w:rPr>
          <w:rFonts w:cstheme="minorHAnsi"/>
        </w:rPr>
        <w:t xml:space="preserve">, </w:t>
      </w:r>
      <w:r w:rsidRPr="00686346">
        <w:rPr>
          <w:rFonts w:cstheme="minorHAnsi"/>
          <w:i/>
          <w:iCs/>
        </w:rPr>
        <w:t>International Organization</w:t>
      </w:r>
      <w:r w:rsidRPr="008F6FB8">
        <w:rPr>
          <w:rFonts w:cstheme="minorHAnsi"/>
        </w:rPr>
        <w:t xml:space="preserve">, </w:t>
      </w:r>
      <w:r w:rsidRPr="00686346">
        <w:rPr>
          <w:rFonts w:cstheme="minorHAnsi"/>
          <w:i/>
          <w:iCs/>
        </w:rPr>
        <w:t>International Security</w:t>
      </w:r>
      <w:r w:rsidRPr="008F6FB8">
        <w:rPr>
          <w:rFonts w:cstheme="minorHAnsi"/>
        </w:rPr>
        <w:t xml:space="preserve">, </w:t>
      </w:r>
      <w:r w:rsidRPr="00686346">
        <w:rPr>
          <w:rFonts w:cstheme="minorHAnsi"/>
          <w:i/>
          <w:iCs/>
        </w:rPr>
        <w:t>International Studies Quarterly</w:t>
      </w:r>
      <w:r w:rsidRPr="008F6FB8">
        <w:rPr>
          <w:rFonts w:cstheme="minorHAnsi"/>
        </w:rPr>
        <w:t xml:space="preserve">, </w:t>
      </w:r>
      <w:r w:rsidRPr="00686346">
        <w:rPr>
          <w:rFonts w:cstheme="minorHAnsi"/>
          <w:i/>
          <w:iCs/>
        </w:rPr>
        <w:t>International Studies Review</w:t>
      </w:r>
      <w:r w:rsidRPr="008F6FB8">
        <w:rPr>
          <w:rFonts w:cstheme="minorHAnsi"/>
        </w:rPr>
        <w:t xml:space="preserve">, </w:t>
      </w:r>
      <w:r w:rsidRPr="00686346">
        <w:rPr>
          <w:rFonts w:cstheme="minorHAnsi"/>
          <w:i/>
          <w:iCs/>
        </w:rPr>
        <w:t>Journal of Conflict Resolution</w:t>
      </w:r>
      <w:r w:rsidRPr="008F6FB8">
        <w:rPr>
          <w:rFonts w:cstheme="minorHAnsi"/>
        </w:rPr>
        <w:t xml:space="preserve">, </w:t>
      </w:r>
      <w:r w:rsidRPr="00686346">
        <w:rPr>
          <w:rFonts w:cstheme="minorHAnsi"/>
          <w:i/>
          <w:iCs/>
        </w:rPr>
        <w:t>Journal of Peace Research</w:t>
      </w:r>
      <w:r w:rsidRPr="008F6FB8">
        <w:rPr>
          <w:rFonts w:cstheme="minorHAnsi"/>
        </w:rPr>
        <w:t xml:space="preserve">, </w:t>
      </w:r>
      <w:r w:rsidRPr="00686346">
        <w:rPr>
          <w:rFonts w:cstheme="minorHAnsi"/>
          <w:i/>
          <w:iCs/>
        </w:rPr>
        <w:t>Journal of Politics</w:t>
      </w:r>
      <w:r w:rsidRPr="008F6FB8">
        <w:rPr>
          <w:rFonts w:cstheme="minorHAnsi"/>
        </w:rPr>
        <w:t xml:space="preserve">, </w:t>
      </w:r>
      <w:r w:rsidRPr="00686346">
        <w:rPr>
          <w:rFonts w:cstheme="minorHAnsi"/>
          <w:i/>
          <w:iCs/>
        </w:rPr>
        <w:t>Security Studies</w:t>
      </w:r>
      <w:r w:rsidRPr="008F6FB8">
        <w:rPr>
          <w:rFonts w:cstheme="minorHAnsi"/>
        </w:rPr>
        <w:t xml:space="preserve">, and </w:t>
      </w:r>
      <w:r w:rsidRPr="00686346">
        <w:rPr>
          <w:rFonts w:cstheme="minorHAnsi"/>
          <w:i/>
          <w:iCs/>
        </w:rPr>
        <w:t>World Politics</w:t>
      </w:r>
      <w:r w:rsidRPr="008F6FB8">
        <w:rPr>
          <w:rFonts w:cstheme="minorHAnsi"/>
        </w:rPr>
        <w:t>.</w:t>
      </w:r>
    </w:p>
  </w:footnote>
  <w:footnote w:id="3">
    <w:p w14:paraId="665D65C5" w14:textId="77777777" w:rsidR="00D63381" w:rsidRPr="008F6FB8" w:rsidRDefault="00D63381" w:rsidP="001F5F60">
      <w:pPr>
        <w:pStyle w:val="FootnoteText"/>
        <w:spacing w:after="120"/>
        <w:rPr>
          <w:rFonts w:cstheme="minorHAnsi"/>
        </w:rPr>
      </w:pPr>
      <w:r w:rsidRPr="008F6FB8">
        <w:rPr>
          <w:rStyle w:val="FootnoteReference"/>
          <w:rFonts w:cstheme="minorHAnsi"/>
        </w:rPr>
        <w:footnoteRef/>
      </w:r>
      <w:r w:rsidRPr="008F6FB8">
        <w:rPr>
          <w:rFonts w:cstheme="minorHAnsi"/>
        </w:rPr>
        <w:t xml:space="preserve"> The timeframe of 1990-2020 provides enough material to complete a thorough evaluation of the literature while also ensuring a contemporary understanding of the topic. However, our review also includes additional resources that were consulted whenever relevant. </w:t>
      </w:r>
    </w:p>
  </w:footnote>
  <w:footnote w:id="4">
    <w:p w14:paraId="5216959B" w14:textId="77777777" w:rsidR="00D63381" w:rsidRPr="008F6FB8" w:rsidRDefault="00D63381" w:rsidP="001F5F60">
      <w:pPr>
        <w:pStyle w:val="FootnoteText"/>
        <w:spacing w:after="120"/>
        <w:rPr>
          <w:rFonts w:cstheme="minorHAnsi"/>
        </w:rPr>
      </w:pPr>
      <w:r w:rsidRPr="008F6FB8">
        <w:rPr>
          <w:rStyle w:val="FootnoteReference"/>
          <w:rFonts w:cstheme="minorHAnsi"/>
        </w:rPr>
        <w:footnoteRef/>
      </w:r>
      <w:r w:rsidRPr="008F6FB8">
        <w:rPr>
          <w:rFonts w:cstheme="minorHAnsi"/>
        </w:rPr>
        <w:t xml:space="preserve"> </w:t>
      </w:r>
      <w:r>
        <w:rPr>
          <w:rFonts w:cstheme="minorHAnsi"/>
        </w:rPr>
        <w:t>A</w:t>
      </w:r>
      <w:r w:rsidRPr="008F6FB8">
        <w:rPr>
          <w:rFonts w:cstheme="minorHAnsi"/>
        </w:rPr>
        <w:t xml:space="preserve"> large portion of these articles, while more detailed in their discussion and general use of political shocks, were nonetheless typically focused on some other overarching concept or process as the main topic of the research.</w:t>
      </w:r>
    </w:p>
  </w:footnote>
  <w:footnote w:id="5">
    <w:p w14:paraId="7D8A38D4" w14:textId="6127AF66" w:rsidR="00D63381" w:rsidRPr="008F6FB8" w:rsidRDefault="00D63381" w:rsidP="00B40A23">
      <w:pPr>
        <w:pStyle w:val="FootnoteText"/>
        <w:rPr>
          <w:rFonts w:cstheme="minorHAnsi"/>
        </w:rPr>
      </w:pPr>
      <w:r w:rsidRPr="008F6FB8">
        <w:rPr>
          <w:rStyle w:val="FootnoteReference"/>
          <w:rFonts w:cstheme="minorHAnsi"/>
        </w:rPr>
        <w:footnoteRef/>
      </w:r>
      <w:r w:rsidRPr="008F6FB8">
        <w:rPr>
          <w:rFonts w:cstheme="minorHAnsi"/>
        </w:rPr>
        <w:t xml:space="preserve"> Retrieved May 22, 2021, at:  </w:t>
      </w:r>
      <w:hyperlink r:id="rId1" w:history="1">
        <w:r w:rsidRPr="008F6FB8">
          <w:rPr>
            <w:rStyle w:val="Hyperlink"/>
            <w:rFonts w:cstheme="minorHAnsi"/>
          </w:rPr>
          <w:t>https://books.google.com/ngrams/graph?content=Political+Shocks&amp;year_start=1800&amp;year_end=2019&amp;corpus=26&amp;smoothing=3&amp;direct_url=t1%3B%2CPolitical%20Shocks%3B%2Cc0</w:t>
        </w:r>
      </w:hyperlink>
      <w:r w:rsidRPr="008F6FB8">
        <w:rPr>
          <w:rStyle w:val="Hyperlink"/>
          <w:rFonts w:cstheme="minorHAnsi"/>
        </w:rPr>
        <w:t>.</w:t>
      </w:r>
      <w:r>
        <w:rPr>
          <w:rFonts w:cstheme="minorHAnsi"/>
        </w:rPr>
        <w:t xml:space="preserve"> R</w:t>
      </w:r>
      <w:r w:rsidRPr="008F6FB8">
        <w:rPr>
          <w:rFonts w:cstheme="minorHAnsi"/>
        </w:rPr>
        <w:t xml:space="preserve">estricting this search to only “political shocks”, the result understates the attention to this phenomenon since </w:t>
      </w:r>
      <w:r>
        <w:rPr>
          <w:rFonts w:cstheme="minorHAnsi"/>
        </w:rPr>
        <w:t xml:space="preserve">in </w:t>
      </w:r>
      <w:r w:rsidRPr="008F6FB8">
        <w:rPr>
          <w:rFonts w:cstheme="minorHAnsi"/>
        </w:rPr>
        <w:t xml:space="preserve">the journals literature (below) authors </w:t>
      </w:r>
      <w:r>
        <w:rPr>
          <w:rFonts w:cstheme="minorHAnsi"/>
        </w:rPr>
        <w:t xml:space="preserve">often </w:t>
      </w:r>
      <w:r w:rsidRPr="008F6FB8">
        <w:rPr>
          <w:rFonts w:cstheme="minorHAnsi"/>
        </w:rPr>
        <w:t xml:space="preserve">refer to these types of events simply as “shocks” rather than political shocks explicitly. </w:t>
      </w:r>
    </w:p>
  </w:footnote>
  <w:footnote w:id="6">
    <w:p w14:paraId="04EADEC9" w14:textId="0F2CEA0B" w:rsidR="00D63381" w:rsidRPr="008F6FB8" w:rsidRDefault="00D63381" w:rsidP="00634887">
      <w:pPr>
        <w:pStyle w:val="FootnoteText"/>
        <w:spacing w:after="120"/>
        <w:rPr>
          <w:rFonts w:cstheme="minorHAnsi"/>
        </w:rPr>
      </w:pPr>
      <w:r w:rsidRPr="008F6FB8">
        <w:rPr>
          <w:rStyle w:val="FootnoteReference"/>
          <w:rFonts w:cstheme="minorHAnsi"/>
        </w:rPr>
        <w:footnoteRef/>
      </w:r>
      <w:r w:rsidRPr="008F6FB8">
        <w:rPr>
          <w:rFonts w:cstheme="minorHAnsi"/>
        </w:rPr>
        <w:t xml:space="preserve"> For some of the literature arguing this point, see Hensel,2001; McNamee &amp; Zhang, 2019; Olar, 2019; Weber, 2019; Miller et al., 2016; Philips et al., 2016; Baccini &amp; Koenig-Archibugi, 2014; Chwieroth, 2014; Davis and Meunier, 2011; Leblang, 2010; Neumayer &amp; Plumper, 2010; Pepinsky, 2008; Elkins et al., 2006; Simmons and Elkins, 2004. </w:t>
      </w:r>
    </w:p>
  </w:footnote>
  <w:footnote w:id="7">
    <w:p w14:paraId="39C1D7FA" w14:textId="13760050" w:rsidR="00D63381" w:rsidRDefault="00D63381" w:rsidP="00983063">
      <w:pPr>
        <w:pStyle w:val="FootnoteText"/>
        <w:ind w:right="-630"/>
      </w:pPr>
      <w:r>
        <w:rPr>
          <w:rStyle w:val="FootnoteReference"/>
        </w:rPr>
        <w:footnoteRef/>
      </w:r>
      <w:r>
        <w:t xml:space="preserve"> Due to space limitations, the full citations of these works are listed online at: kellygordell.com/research</w:t>
      </w:r>
    </w:p>
    <w:p w14:paraId="1EF98EBA" w14:textId="324FC83F" w:rsidR="00D63381" w:rsidRDefault="00D63381">
      <w:pPr>
        <w:pStyle w:val="FootnoteText"/>
      </w:pPr>
      <w:r>
        <w:t xml:space="preserve"> </w:t>
      </w:r>
    </w:p>
  </w:footnote>
  <w:footnote w:id="8">
    <w:p w14:paraId="6321AFFA" w14:textId="0C037F35" w:rsidR="00D63381" w:rsidRDefault="00D63381">
      <w:pPr>
        <w:pStyle w:val="FootnoteText"/>
      </w:pPr>
      <w:r>
        <w:rPr>
          <w:rStyle w:val="FootnoteReference"/>
        </w:rPr>
        <w:footnoteRef/>
      </w:r>
      <w:r>
        <w:t xml:space="preserve"> And some would argue, policymakers’ perceptions of the consequences of these events (e.g. Rasler, 2000).</w:t>
      </w:r>
    </w:p>
  </w:footnote>
  <w:footnote w:id="9">
    <w:p w14:paraId="7EF0532C" w14:textId="53E64147" w:rsidR="00D63381" w:rsidRDefault="00D63381">
      <w:pPr>
        <w:pStyle w:val="FootnoteText"/>
      </w:pPr>
      <w:r>
        <w:rPr>
          <w:rStyle w:val="FootnoteReference"/>
        </w:rPr>
        <w:footnoteRef/>
      </w:r>
      <w:r>
        <w:t xml:space="preserve"> For a similar argument regarding domestic policy, see Jones et al. 1998.</w:t>
      </w:r>
    </w:p>
  </w:footnote>
  <w:footnote w:id="10">
    <w:p w14:paraId="439C938E" w14:textId="05C49E5C" w:rsidR="00D63381" w:rsidRPr="008F6FB8" w:rsidRDefault="00D63381" w:rsidP="00A901E0">
      <w:pPr>
        <w:rPr>
          <w:rFonts w:cstheme="minorHAnsi"/>
          <w:sz w:val="20"/>
          <w:szCs w:val="20"/>
        </w:rPr>
      </w:pPr>
      <w:r>
        <w:rPr>
          <w:rStyle w:val="FootnoteReference"/>
        </w:rPr>
        <w:footnoteRef/>
      </w:r>
      <w:r>
        <w:t xml:space="preserve"> </w:t>
      </w:r>
      <w:r w:rsidRPr="00A901E0">
        <w:rPr>
          <w:rFonts w:cstheme="minorHAnsi"/>
          <w:sz w:val="20"/>
          <w:szCs w:val="20"/>
        </w:rPr>
        <w:t>The punctuated equilibrium (PE) model</w:t>
      </w:r>
      <w:r>
        <w:rPr>
          <w:rFonts w:cstheme="minorHAnsi"/>
          <w:sz w:val="20"/>
          <w:szCs w:val="20"/>
        </w:rPr>
        <w:t xml:space="preserve"> was</w:t>
      </w:r>
      <w:r w:rsidRPr="00A901E0">
        <w:rPr>
          <w:rFonts w:cstheme="minorHAnsi"/>
          <w:sz w:val="20"/>
          <w:szCs w:val="20"/>
        </w:rPr>
        <w:t xml:space="preserve"> initially pioneered in the field of U.S. domestic public policy (e.g., Baumgartner and Jones 1993, 2002, Green-Pedersen and Princen 2016, Brummer et al. 2019) with eventual applications to comparative public policy and foreign policy analysis.</w:t>
      </w:r>
      <w:r>
        <w:rPr>
          <w:rFonts w:cstheme="minorHAnsi"/>
        </w:rPr>
        <w:t xml:space="preserve"> </w:t>
      </w:r>
      <w:r w:rsidRPr="008F6FB8">
        <w:rPr>
          <w:rFonts w:cstheme="minorHAnsi"/>
          <w:sz w:val="20"/>
          <w:szCs w:val="20"/>
        </w:rPr>
        <w:t>Political scientists and public policy scholars in turn had adopted much of this approach from evolutionary biologists (Eldredge 1985, Eldredge 1995, Eldredge and Gould 1972, Gould and Eldredge 1973).</w:t>
      </w:r>
    </w:p>
    <w:p w14:paraId="7C02A026" w14:textId="68D58188" w:rsidR="00D63381" w:rsidRPr="00A901E0" w:rsidRDefault="00D63381">
      <w:pPr>
        <w:pStyle w:val="FootnoteText"/>
        <w:rPr>
          <w:rFonts w:cstheme="minorHAnsi"/>
        </w:rPr>
      </w:pPr>
    </w:p>
  </w:footnote>
  <w:footnote w:id="11">
    <w:p w14:paraId="711B1D5E" w14:textId="62FBEEE2" w:rsidR="00D63381" w:rsidRDefault="00D63381">
      <w:pPr>
        <w:pStyle w:val="FootnoteText"/>
      </w:pPr>
      <w:r>
        <w:rPr>
          <w:rStyle w:val="FootnoteReference"/>
        </w:rPr>
        <w:footnoteRef/>
      </w:r>
      <w:r>
        <w:t xml:space="preserve"> Of course, numerous qualitative studies of foreign policies and inter-state interactions have also noted similar stability in relationships.</w:t>
      </w:r>
    </w:p>
  </w:footnote>
  <w:footnote w:id="12">
    <w:p w14:paraId="6B1CA5EA" w14:textId="77777777" w:rsidR="00D63381" w:rsidRDefault="00D63381" w:rsidP="00A901E0">
      <w:pPr>
        <w:pStyle w:val="FootnoteText"/>
      </w:pPr>
      <w:r>
        <w:rPr>
          <w:rStyle w:val="FootnoteReference"/>
        </w:rPr>
        <w:footnoteRef/>
      </w:r>
      <w:r>
        <w:t xml:space="preserve"> For discussions of path dependency in both domestic and foreign policy see Schieder 2019, Pierson 2000, Sarigil, 2015.</w:t>
      </w:r>
    </w:p>
  </w:footnote>
  <w:footnote w:id="13">
    <w:p w14:paraId="457EE5E8" w14:textId="2FFEC98C" w:rsidR="00D63381" w:rsidRDefault="00D63381">
      <w:pPr>
        <w:pStyle w:val="FootnoteText"/>
      </w:pPr>
      <w:r>
        <w:rPr>
          <w:rStyle w:val="FootnoteReference"/>
        </w:rPr>
        <w:footnoteRef/>
      </w:r>
      <w:r>
        <w:t xml:space="preserve"> They emphasize as well that political shocks are a necessary but not sufficient condition for dramatic changes to ongoing relationships between states. </w:t>
      </w:r>
    </w:p>
  </w:footnote>
  <w:footnote w:id="14">
    <w:p w14:paraId="54C2043D" w14:textId="24080761" w:rsidR="00D63381" w:rsidRPr="008F6FB8" w:rsidRDefault="00D63381" w:rsidP="001167AC">
      <w:pPr>
        <w:autoSpaceDE w:val="0"/>
        <w:autoSpaceDN w:val="0"/>
        <w:adjustRightInd w:val="0"/>
        <w:spacing w:after="0" w:line="240" w:lineRule="auto"/>
        <w:rPr>
          <w:rFonts w:cstheme="minorHAnsi"/>
          <w:sz w:val="20"/>
          <w:szCs w:val="20"/>
        </w:rPr>
      </w:pPr>
      <w:r>
        <w:rPr>
          <w:rStyle w:val="FootnoteReference"/>
        </w:rPr>
        <w:footnoteRef/>
      </w:r>
      <w:r>
        <w:t xml:space="preserve"> </w:t>
      </w:r>
      <w:r w:rsidRPr="008F6FB8">
        <w:rPr>
          <w:rFonts w:cstheme="minorHAnsi"/>
          <w:sz w:val="20"/>
          <w:szCs w:val="20"/>
        </w:rPr>
        <w:t xml:space="preserve">Rasler’s work also suggests that not all shocks have the same impact: “The more entrenched the expectations and the deeper the strategic inertia, the stronger the shocks must be in order to tip expectations into a new direction” (Rasler 2000:702).  </w:t>
      </w:r>
    </w:p>
  </w:footnote>
  <w:footnote w:id="15">
    <w:p w14:paraId="323B64EB" w14:textId="5177925F" w:rsidR="00D63381" w:rsidRDefault="00D63381">
      <w:pPr>
        <w:pStyle w:val="FootnoteText"/>
      </w:pPr>
      <w:r>
        <w:rPr>
          <w:rStyle w:val="FootnoteReference"/>
        </w:rPr>
        <w:footnoteRef/>
      </w:r>
      <w:r>
        <w:t xml:space="preserve"> By one account France has experienced no fewer than 65 terrorist attacks between 1958 and 2020. Twenty two of those incidents occurred between 2012 and 2019, averaging over three incidents per year, and according to one research consortium, nearly 80 percent of those involved with the attacks were on a terror watch list and 97 percent were on the “radar” of authorities. See NBC News (2019), “Report: Nearly all terror attacks in France carried out by radicals already known to police.” Retrieved at: </w:t>
      </w:r>
      <w:hyperlink r:id="rId2" w:history="1">
        <w:r w:rsidRPr="001A76D0">
          <w:rPr>
            <w:rStyle w:val="Hyperlink"/>
          </w:rPr>
          <w:t>https://www.nbcnews.com/news/world/report-nearly-all-terror-attacks-france-carried-out-radicals-already-n955276</w:t>
        </w:r>
      </w:hyperlink>
      <w:r>
        <w:t xml:space="preserve"> (May 25, 2011).</w:t>
      </w:r>
    </w:p>
  </w:footnote>
  <w:footnote w:id="16">
    <w:p w14:paraId="2BA0D091" w14:textId="677F6D54" w:rsidR="00D63381" w:rsidRDefault="00D63381">
      <w:pPr>
        <w:pStyle w:val="FootnoteText"/>
      </w:pPr>
      <w:r>
        <w:rPr>
          <w:rStyle w:val="FootnoteReference"/>
        </w:rPr>
        <w:footnoteRef/>
      </w:r>
      <w:r>
        <w:t xml:space="preserve"> This is not only a threshold issue (is it a shock or not), but as Rasler (2000) notes some contexts will need stronger shocks than others in order to dislodge extant commitments to ongoing policies.</w:t>
      </w:r>
    </w:p>
  </w:footnote>
  <w:footnote w:id="17">
    <w:p w14:paraId="2EB7D695" w14:textId="775A8D02" w:rsidR="00D63381" w:rsidRDefault="00D63381" w:rsidP="00FE7C16">
      <w:pPr>
        <w:pStyle w:val="FootnoteText"/>
      </w:pPr>
      <w:r>
        <w:rPr>
          <w:rStyle w:val="FootnoteReference"/>
        </w:rPr>
        <w:footnoteRef/>
      </w:r>
      <w:r>
        <w:t xml:space="preserve"> We are not denying that there is a very strong perceptual component involved with political shocks. Nevertheless, we take the position that a certain set of outcomes associated with political shocks should link very strongly to policy makers’ perceptions. We recognize that in this sense we may not cover all political shocks that meet our objective threshold as some policymakers will perceive certain events to be a shock even when they fail to cross our designated threshold. In this sense our conceptualization and measurement strategy will not fully encapsulate all such shocks. However, the approach should approximate the existence of most cases. </w:t>
      </w:r>
    </w:p>
  </w:footnote>
  <w:footnote w:id="18">
    <w:p w14:paraId="087E1BBF" w14:textId="1C191D4A" w:rsidR="00D63381" w:rsidRDefault="00D63381">
      <w:pPr>
        <w:pStyle w:val="FootnoteText"/>
      </w:pPr>
      <w:r>
        <w:rPr>
          <w:rStyle w:val="FootnoteReference"/>
        </w:rPr>
        <w:footnoteRef/>
      </w:r>
      <w:r>
        <w:t xml:space="preserve"> We assume that such a high magnitude impact by an event that creates a political shock should be noticeable as well by outside observers, including both state actors and scholars.</w:t>
      </w:r>
    </w:p>
  </w:footnote>
  <w:footnote w:id="19">
    <w:p w14:paraId="0CB241C6" w14:textId="77777777" w:rsidR="00D63381" w:rsidRDefault="00D63381" w:rsidP="007A7F10">
      <w:pPr>
        <w:pStyle w:val="FootnoteText"/>
      </w:pPr>
      <w:r>
        <w:rPr>
          <w:rStyle w:val="FootnoteReference"/>
        </w:rPr>
        <w:footnoteRef/>
      </w:r>
      <w:r>
        <w:t xml:space="preserve"> In one way we depart from the theoretical framing produced by the punctuated equilibrium model: we conceptualize actual political shocks as produced by an unanticipated, rapidly occurring event that creates a punctuation to the normal political process </w:t>
      </w:r>
      <w:r w:rsidRPr="007A7F10">
        <w:rPr>
          <w:i/>
          <w:iCs/>
        </w:rPr>
        <w:t>immediately</w:t>
      </w:r>
      <w:r>
        <w:t xml:space="preserve"> following the event. In the policy literature such disturbances may take some time to unfold and some shocks have immediate consequences while others may have a longer impact trajectory. </w:t>
      </w:r>
    </w:p>
  </w:footnote>
  <w:footnote w:id="20">
    <w:p w14:paraId="2A3C2673" w14:textId="77777777" w:rsidR="00D63381" w:rsidRDefault="00D63381" w:rsidP="00DA2FF0">
      <w:pPr>
        <w:pStyle w:val="FootnoteText"/>
      </w:pPr>
      <w:r>
        <w:rPr>
          <w:rStyle w:val="FootnoteReference"/>
        </w:rPr>
        <w:footnoteRef/>
      </w:r>
      <w:r>
        <w:t xml:space="preserve"> For a discussion of these works and alternative measures for operationalizing state instability, see Gordell (2021, Chapter 3).</w:t>
      </w:r>
    </w:p>
  </w:footnote>
  <w:footnote w:id="21">
    <w:p w14:paraId="1E923A4D" w14:textId="52FFB6C6" w:rsidR="00D63381" w:rsidRDefault="00D63381">
      <w:pPr>
        <w:pStyle w:val="FootnoteText"/>
      </w:pPr>
      <w:r>
        <w:rPr>
          <w:rStyle w:val="FootnoteReference"/>
        </w:rPr>
        <w:footnoteRef/>
      </w:r>
      <w:r>
        <w:t xml:space="preserve"> Shocks, by definition, appear very quickly.</w:t>
      </w:r>
    </w:p>
  </w:footnote>
  <w:footnote w:id="22">
    <w:p w14:paraId="24008A14" w14:textId="47B226DB" w:rsidR="00D63381" w:rsidRDefault="00D63381">
      <w:pPr>
        <w:pStyle w:val="FootnoteText"/>
      </w:pPr>
      <w:r>
        <w:rPr>
          <w:rStyle w:val="FootnoteReference"/>
        </w:rPr>
        <w:footnoteRef/>
      </w:r>
      <w:r>
        <w:t xml:space="preserve"> Note that we are classifying both negative (e.g., major reduction in economic growth) and positive changes (major increase in economic growth) as punctuations in a state’s equilibrium. For example, in 1996   Equatorial Guinea experienced a positive punctuation in its economy in the form of dramatic economic growth resulting from the discovery of oil and the immediate oil boom that resulted. </w:t>
      </w:r>
    </w:p>
  </w:footnote>
  <w:footnote w:id="23">
    <w:p w14:paraId="46F8ABF9" w14:textId="188979A0" w:rsidR="00D63381" w:rsidRPr="00145700" w:rsidRDefault="00D63381" w:rsidP="001C44A3">
      <w:pPr>
        <w:pStyle w:val="FootnoteText"/>
        <w:rPr>
          <w:rFonts w:cstheme="minorHAnsi"/>
        </w:rPr>
      </w:pPr>
      <w:r w:rsidRPr="00145700">
        <w:rPr>
          <w:rStyle w:val="FootnoteReference"/>
          <w:rFonts w:cstheme="minorHAnsi"/>
        </w:rPr>
        <w:footnoteRef/>
      </w:r>
      <w:r w:rsidRPr="00145700">
        <w:rPr>
          <w:rFonts w:cstheme="minorHAnsi"/>
        </w:rPr>
        <w:t xml:space="preserve"> The use of standard deviations to distinguish shocks and shock effects is quite common in the literature (e.g. Sprecher and DeRouen 2002, Dreher et al. 2012). Likewise, many works also focus on GDP growth as measures of economic performance (e.g., </w:t>
      </w:r>
      <w:bookmarkStart w:id="4" w:name="_Hlk73181028"/>
      <w:r w:rsidRPr="00145700">
        <w:rPr>
          <w:rFonts w:cstheme="minorHAnsi"/>
        </w:rPr>
        <w:t xml:space="preserve">Gleditsch and Ward 2006, see also the discussion by Meierding 2013). </w:t>
      </w:r>
      <w:bookmarkEnd w:id="4"/>
    </w:p>
  </w:footnote>
  <w:footnote w:id="24">
    <w:p w14:paraId="211E52B6" w14:textId="77777777" w:rsidR="00D63381" w:rsidRPr="00145700" w:rsidRDefault="00D63381" w:rsidP="00C115A5">
      <w:pPr>
        <w:pStyle w:val="FootnoteText"/>
        <w:rPr>
          <w:rFonts w:cstheme="minorHAnsi"/>
        </w:rPr>
      </w:pPr>
      <w:r w:rsidRPr="00145700">
        <w:rPr>
          <w:rStyle w:val="FootnoteReference"/>
          <w:rFonts w:cstheme="minorHAnsi"/>
        </w:rPr>
        <w:footnoteRef/>
      </w:r>
      <w:r w:rsidRPr="00145700">
        <w:rPr>
          <w:rFonts w:cstheme="minorHAnsi"/>
        </w:rPr>
        <w:t xml:space="preserve"> Using World Bank data on GDP; available at: </w:t>
      </w:r>
      <w:hyperlink r:id="rId3" w:history="1">
        <w:r w:rsidRPr="00145700">
          <w:rPr>
            <w:rStyle w:val="Hyperlink"/>
            <w:rFonts w:cstheme="minorHAnsi"/>
          </w:rPr>
          <w:t>https://data.worldbank.org/indicator/NY.GDP.MKTP.CD</w:t>
        </w:r>
      </w:hyperlink>
      <w:r w:rsidRPr="00145700">
        <w:rPr>
          <w:rFonts w:cstheme="minorHAnsi"/>
        </w:rPr>
        <w:t xml:space="preserve"> </w:t>
      </w:r>
    </w:p>
  </w:footnote>
  <w:footnote w:id="25">
    <w:p w14:paraId="2357E2FD" w14:textId="54F5208C" w:rsidR="00D63381" w:rsidRPr="00145700" w:rsidRDefault="00D63381" w:rsidP="00C115A5">
      <w:pPr>
        <w:pStyle w:val="FootnoteText"/>
        <w:spacing w:after="120"/>
        <w:rPr>
          <w:rFonts w:cstheme="minorHAnsi"/>
        </w:rPr>
      </w:pPr>
      <w:r w:rsidRPr="00145700">
        <w:rPr>
          <w:rStyle w:val="FootnoteReference"/>
          <w:rFonts w:cstheme="minorHAnsi"/>
        </w:rPr>
        <w:footnoteRef/>
      </w:r>
      <w:r w:rsidRPr="00145700">
        <w:rPr>
          <w:rFonts w:cstheme="minorHAnsi"/>
        </w:rPr>
        <w:t xml:space="preserve"> The number of states varies due to changes in state membership (e.g., independence, splits, unifications, etc.) through the timeframe. In addition, the World Bank does not calculate GDP figures for the socialist economies of the USSR and its European allies during the Cold War.</w:t>
      </w:r>
    </w:p>
  </w:footnote>
  <w:footnote w:id="26">
    <w:p w14:paraId="20A523E2" w14:textId="099BAC43" w:rsidR="00D63381" w:rsidRPr="00145700" w:rsidRDefault="00D63381">
      <w:pPr>
        <w:pStyle w:val="FootnoteText"/>
        <w:rPr>
          <w:rFonts w:cstheme="minorHAnsi"/>
        </w:rPr>
      </w:pPr>
      <w:r w:rsidRPr="00145700">
        <w:rPr>
          <w:rStyle w:val="FootnoteReference"/>
          <w:rFonts w:cstheme="minorHAnsi"/>
        </w:rPr>
        <w:footnoteRef/>
      </w:r>
      <w:r w:rsidRPr="00145700">
        <w:rPr>
          <w:rFonts w:cstheme="minorHAnsi"/>
        </w:rPr>
        <w:t xml:space="preserve"> We created the sample to reflect</w:t>
      </w:r>
      <w:r>
        <w:rPr>
          <w:rFonts w:cstheme="minorHAnsi"/>
        </w:rPr>
        <w:t xml:space="preserve"> longitudinal</w:t>
      </w:r>
      <w:r w:rsidRPr="00145700">
        <w:rPr>
          <w:rFonts w:cstheme="minorHAnsi"/>
        </w:rPr>
        <w:t xml:space="preserve"> variation (including Cold War and post-Cold War time frames</w:t>
      </w:r>
      <w:r>
        <w:rPr>
          <w:rFonts w:cstheme="minorHAnsi"/>
        </w:rPr>
        <w:t>)</w:t>
      </w:r>
      <w:r w:rsidRPr="00145700">
        <w:rPr>
          <w:rFonts w:cstheme="minorHAnsi"/>
        </w:rPr>
        <w:t xml:space="preserve">, geographical diversity (sampling all regions), and </w:t>
      </w:r>
      <w:r>
        <w:rPr>
          <w:rFonts w:cstheme="minorHAnsi"/>
        </w:rPr>
        <w:t>diversity across types of states</w:t>
      </w:r>
      <w:r w:rsidRPr="00145700">
        <w:rPr>
          <w:rFonts w:cstheme="minorHAnsi"/>
        </w:rPr>
        <w:t xml:space="preserve"> (including age of countries, wealth levels, and regime types). </w:t>
      </w:r>
      <w:r w:rsidRPr="00145700">
        <w:rPr>
          <w:rFonts w:cstheme="minorHAnsi"/>
          <w:sz w:val="24"/>
          <w:szCs w:val="24"/>
        </w:rPr>
        <w:t xml:space="preserve">  </w:t>
      </w:r>
    </w:p>
  </w:footnote>
  <w:footnote w:id="27">
    <w:p w14:paraId="63ED1EC8" w14:textId="2DD3DA48" w:rsidR="00D63381" w:rsidRDefault="00D63381" w:rsidP="000D03C8">
      <w:pPr>
        <w:pStyle w:val="FootnoteText"/>
      </w:pPr>
      <w:r>
        <w:rPr>
          <w:rStyle w:val="FootnoteReference"/>
        </w:rPr>
        <w:footnoteRef/>
      </w:r>
      <w:r>
        <w:t xml:space="preserve"> The following databases are used for linking PPS events to disruptions:</w:t>
      </w:r>
      <w:bookmarkStart w:id="5" w:name="_Hlk76474130"/>
      <w:r>
        <w:t xml:space="preserve"> Center for Systemic Peace’s </w:t>
      </w:r>
      <w:r w:rsidRPr="009D0C5D">
        <w:rPr>
          <w:i/>
          <w:iCs/>
        </w:rPr>
        <w:t>Coup D’état Events Dataset</w:t>
      </w:r>
      <w:r>
        <w:t xml:space="preserve"> and Political Instability Task Force (PITF) </w:t>
      </w:r>
      <w:r w:rsidRPr="009D0C5D">
        <w:rPr>
          <w:i/>
          <w:iCs/>
        </w:rPr>
        <w:t>State Failure Problem Se</w:t>
      </w:r>
      <w:r>
        <w:t xml:space="preserve">t, Correlates of War </w:t>
      </w:r>
      <w:r w:rsidRPr="009D0C5D">
        <w:rPr>
          <w:i/>
          <w:iCs/>
        </w:rPr>
        <w:t>Intra-state War Data v5.1</w:t>
      </w:r>
      <w:r>
        <w:t xml:space="preserve"> and </w:t>
      </w:r>
      <w:r w:rsidRPr="009D0C5D">
        <w:rPr>
          <w:i/>
          <w:iCs/>
        </w:rPr>
        <w:t>Inter-state War Data v4.0</w:t>
      </w:r>
      <w:r>
        <w:t xml:space="preserve">, EM-DAT </w:t>
      </w:r>
      <w:r w:rsidRPr="009D0C5D">
        <w:rPr>
          <w:i/>
          <w:iCs/>
        </w:rPr>
        <w:t>International Disasters Database</w:t>
      </w:r>
      <w:r>
        <w:t xml:space="preserve">, </w:t>
      </w:r>
      <w:r w:rsidRPr="009D0C5D">
        <w:rPr>
          <w:i/>
          <w:iCs/>
        </w:rPr>
        <w:t>Global Terrorism Database (GTD)</w:t>
      </w:r>
      <w:r>
        <w:t xml:space="preserve">, </w:t>
      </w:r>
      <w:r w:rsidRPr="009D0C5D">
        <w:rPr>
          <w:i/>
          <w:iCs/>
        </w:rPr>
        <w:t>Harvard Behavioral Finance and Financial Stability (BFFS) Project</w:t>
      </w:r>
      <w:r>
        <w:t>, International Monetary Fund (IMF</w:t>
      </w:r>
      <w:r w:rsidRPr="009D0C5D">
        <w:rPr>
          <w:i/>
          <w:iCs/>
        </w:rPr>
        <w:t>) Financial Development Index Database</w:t>
      </w:r>
      <w:r>
        <w:t xml:space="preserve">, and the UCDP/PRIO </w:t>
      </w:r>
      <w:r w:rsidRPr="009D0C5D">
        <w:rPr>
          <w:i/>
          <w:iCs/>
        </w:rPr>
        <w:t>Armed Conflict Dataset version 20.1</w:t>
      </w:r>
      <w:r>
        <w:t xml:space="preserve">. </w:t>
      </w:r>
      <w:bookmarkEnd w:id="5"/>
      <w:r>
        <w:t>In addition, where we found no clear linkages between event and disruption, we consulted current events chronologies (when available) for each country during and the year immediately prior to the disruption.</w:t>
      </w:r>
    </w:p>
  </w:footnote>
  <w:footnote w:id="28">
    <w:p w14:paraId="5180F36F" w14:textId="77777777" w:rsidR="00D63381" w:rsidRDefault="00D63381" w:rsidP="004543A9">
      <w:pPr>
        <w:pStyle w:val="FootnoteText"/>
      </w:pPr>
      <w:r>
        <w:rPr>
          <w:rStyle w:val="FootnoteReference"/>
        </w:rPr>
        <w:footnoteRef/>
      </w:r>
      <w:r>
        <w:t xml:space="preserve"> Our observations are annual. Therefore, to qualify as a precipitating event, each PPS has to occur either during the year of the economic disruption, or the year immediately preceding the economic disruption.</w:t>
      </w:r>
    </w:p>
  </w:footnote>
  <w:footnote w:id="29">
    <w:p w14:paraId="29478ADD" w14:textId="531127D7" w:rsidR="00D63381" w:rsidRDefault="00D63381" w:rsidP="0092599E">
      <w:pPr>
        <w:pStyle w:val="FootnoteText"/>
      </w:pPr>
      <w:r>
        <w:rPr>
          <w:rStyle w:val="FootnoteReference"/>
        </w:rPr>
        <w:footnoteRef/>
      </w:r>
      <w:r>
        <w:t xml:space="preserve"> Event tracing involved not only the identification of an event, but as well whether the event would appear to fit the criteria for being a potential political shock. For example, a war between country A and B would not meet the criteria for country A if it had initiated the event. However, a major, costly surprise during a war, such as the Tet offensive in Vietnam, could be a shock to the side experiencing the surprise.</w:t>
      </w:r>
    </w:p>
  </w:footnote>
  <w:footnote w:id="30">
    <w:p w14:paraId="02640BE6" w14:textId="3BFBB3B9" w:rsidR="00D63381" w:rsidRDefault="00D63381">
      <w:pPr>
        <w:pStyle w:val="FootnoteText"/>
      </w:pPr>
      <w:r>
        <w:rPr>
          <w:rStyle w:val="FootnoteReference"/>
        </w:rPr>
        <w:footnoteRef/>
      </w:r>
      <w:r>
        <w:t xml:space="preserve"> We are being quite conservative here since the public policy literature suggests that major policy failure is a political shock that would punctuate the political equilibrium.</w:t>
      </w:r>
    </w:p>
  </w:footnote>
  <w:footnote w:id="31">
    <w:p w14:paraId="1507FAC8" w14:textId="57100450" w:rsidR="00D63381" w:rsidRDefault="00D63381">
      <w:pPr>
        <w:pStyle w:val="FootnoteText"/>
      </w:pPr>
      <w:r>
        <w:rPr>
          <w:rStyle w:val="FootnoteReference"/>
        </w:rPr>
        <w:footnoteRef/>
      </w:r>
      <w:r>
        <w:t xml:space="preserve"> The third case of Bosnia and Herzegovina, 1996 is accompanied by the termination of the Bosnian war in 1995, which one coder did not consider to be “unanticipated”.</w:t>
      </w:r>
    </w:p>
  </w:footnote>
  <w:footnote w:id="32">
    <w:p w14:paraId="329C4762" w14:textId="77777777" w:rsidR="00D63381" w:rsidRDefault="00D63381" w:rsidP="007A15E0">
      <w:pPr>
        <w:pStyle w:val="FootnoteText"/>
      </w:pPr>
      <w:r>
        <w:rPr>
          <w:rStyle w:val="FootnoteReference"/>
        </w:rPr>
        <w:footnoteRef/>
      </w:r>
      <w:r>
        <w:t xml:space="preserve"> Do all irregular transfers of power, or all increases in societal violence lead to the same consequences for governance? Do these events all automatically create punctuations in the political equilibrium?</w:t>
      </w:r>
    </w:p>
  </w:footnote>
  <w:footnote w:id="33">
    <w:p w14:paraId="7FB15AF7" w14:textId="77777777" w:rsidR="00D63381" w:rsidRDefault="00D63381" w:rsidP="007F4944">
      <w:pPr>
        <w:pStyle w:val="FootnoteText"/>
      </w:pPr>
      <w:r>
        <w:rPr>
          <w:rStyle w:val="FootnoteReference"/>
        </w:rPr>
        <w:footnoteRef/>
      </w:r>
      <w:r>
        <w:t xml:space="preserve"> Relative political extraction refers</w:t>
      </w:r>
      <w:r w:rsidRPr="00AA54C3">
        <w:rPr>
          <w:rFonts w:ascii="Times New Roman" w:hAnsi="Times New Roman" w:cs="Times New Roman"/>
          <w:i/>
          <w:iCs/>
          <w:sz w:val="24"/>
          <w:szCs w:val="24"/>
        </w:rPr>
        <w:t xml:space="preserve"> </w:t>
      </w:r>
      <w:r>
        <w:t xml:space="preserve">to the extraction of resources from the economy by government, based on the difference between “expected” and actual extraction, controlling for level of development. </w:t>
      </w:r>
      <w:r w:rsidRPr="007D6D5A">
        <w:t xml:space="preserve">RPE data are available at: </w:t>
      </w:r>
      <w:hyperlink r:id="rId4" w:history="1">
        <w:r w:rsidRPr="007D6D5A">
          <w:rPr>
            <w:color w:val="0000FF"/>
            <w:u w:val="single"/>
          </w:rPr>
          <w:t>http://transresearchconsortium.com/data</w:t>
        </w:r>
      </w:hyperlink>
      <w:r>
        <w:t>.</w:t>
      </w:r>
    </w:p>
  </w:footnote>
  <w:footnote w:id="34">
    <w:p w14:paraId="5AA51F65" w14:textId="7B0103F8" w:rsidR="00D63381" w:rsidRDefault="00D63381">
      <w:pPr>
        <w:pStyle w:val="FootnoteText"/>
      </w:pPr>
      <w:r>
        <w:rPr>
          <w:rStyle w:val="FootnoteReference"/>
        </w:rPr>
        <w:footnoteRef/>
      </w:r>
      <w:r>
        <w:t xml:space="preserve"> There are numerous other possibilities that exist for measuring punctuations in political equilibrium and we encourage researchers to offer viable other alternatives. One which we had entertained as an excellent candidate involved major changes in the governmental efficiency of states. Unfortunately, the most valid measure of such efficiency, produced by the World Bank, is unavailable on an annual basis until 2000.</w:t>
      </w:r>
    </w:p>
  </w:footnote>
  <w:footnote w:id="35">
    <w:p w14:paraId="43537BDD" w14:textId="77777777" w:rsidR="00D63381" w:rsidRDefault="00D63381" w:rsidP="00D63381">
      <w:pPr>
        <w:pStyle w:val="FootnoteText"/>
      </w:pPr>
      <w:r>
        <w:rPr>
          <w:rStyle w:val="FootnoteReference"/>
        </w:rPr>
        <w:footnoteRef/>
      </w:r>
      <w:r>
        <w:t xml:space="preserve"> We use the US here as an example since its dominant position in international politics over the last century has been accompanied by extensive event histories and the instances we indicate below for the US are well known.</w:t>
      </w:r>
    </w:p>
  </w:footnote>
  <w:footnote w:id="36">
    <w:p w14:paraId="74C39837" w14:textId="77777777" w:rsidR="00D63381" w:rsidRDefault="00D63381" w:rsidP="00D63381">
      <w:pPr>
        <w:pStyle w:val="FootnoteText"/>
      </w:pPr>
      <w:r>
        <w:rPr>
          <w:rStyle w:val="FootnoteReference"/>
        </w:rPr>
        <w:footnoteRef/>
      </w:r>
      <w:r>
        <w:t xml:space="preserve"> We have no theoretical reason to suggest that a punctuation in the equilibrium will last only one year. Therefore, when we have cases (for example, the 1964-65 cases in Figure 3) where such a punctuation is detected in two consecutive years, it is treated as one case.</w:t>
      </w:r>
    </w:p>
  </w:footnote>
  <w:footnote w:id="37">
    <w:p w14:paraId="1E31B5D6" w14:textId="77777777" w:rsidR="00D63381" w:rsidRDefault="00D63381" w:rsidP="009A087B">
      <w:pPr>
        <w:pStyle w:val="FootnoteText"/>
      </w:pPr>
      <w:r>
        <w:rPr>
          <w:rStyle w:val="FootnoteReference"/>
        </w:rPr>
        <w:footnoteRef/>
      </w:r>
      <w:r>
        <w:t xml:space="preserve"> The database is available at </w:t>
      </w:r>
      <w:hyperlink r:id="rId5" w:history="1">
        <w:r w:rsidRPr="003E05B6">
          <w:rPr>
            <w:rStyle w:val="Hyperlink"/>
          </w:rPr>
          <w:t>https://www.start.umd.edu/gtd/access/</w:t>
        </w:r>
      </w:hyperlink>
    </w:p>
  </w:footnote>
  <w:footnote w:id="38">
    <w:p w14:paraId="4F93021F" w14:textId="4EEB84E0" w:rsidR="00D63381" w:rsidRDefault="00D63381">
      <w:pPr>
        <w:pStyle w:val="FootnoteText"/>
      </w:pPr>
      <w:r>
        <w:rPr>
          <w:rStyle w:val="FootnoteReference"/>
        </w:rPr>
        <w:footnoteRef/>
      </w:r>
      <w:r>
        <w:t xml:space="preserve"> Another illustration between potential versus actual political shocks: the Oklahoma City bombing of 1995, claimed by the FBI to be the deadliest case of domestic terrorism in U.S. history, does not register either, perhaps due to the fact that domestic terrorism during the mid-1990s was perceived as a one-off aberration and not seen as a case of major policy failure. </w:t>
      </w:r>
    </w:p>
  </w:footnote>
  <w:footnote w:id="39">
    <w:p w14:paraId="4C13FD31" w14:textId="77777777" w:rsidR="00D63381" w:rsidRPr="003C46FE" w:rsidRDefault="00D63381" w:rsidP="00AD24E7">
      <w:pPr>
        <w:pStyle w:val="NoSpacing"/>
        <w:rPr>
          <w:sz w:val="20"/>
          <w:szCs w:val="20"/>
        </w:rPr>
      </w:pPr>
      <w:r>
        <w:rPr>
          <w:rStyle w:val="FootnoteReference"/>
        </w:rPr>
        <w:footnoteRef/>
      </w:r>
      <w:r>
        <w:t xml:space="preserve"> </w:t>
      </w:r>
      <w:r w:rsidRPr="003C46FE">
        <w:rPr>
          <w:sz w:val="20"/>
          <w:szCs w:val="20"/>
        </w:rPr>
        <w:t xml:space="preserve">The 1991 change is accompanied by the outbreak of </w:t>
      </w:r>
      <w:r>
        <w:rPr>
          <w:sz w:val="20"/>
          <w:szCs w:val="20"/>
        </w:rPr>
        <w:t>c</w:t>
      </w:r>
      <w:r w:rsidRPr="003C46FE">
        <w:rPr>
          <w:sz w:val="20"/>
          <w:szCs w:val="20"/>
        </w:rPr>
        <w:t xml:space="preserve">ivil </w:t>
      </w:r>
      <w:r>
        <w:rPr>
          <w:sz w:val="20"/>
          <w:szCs w:val="20"/>
        </w:rPr>
        <w:t>w</w:t>
      </w:r>
      <w:r w:rsidRPr="003C46FE">
        <w:rPr>
          <w:sz w:val="20"/>
          <w:szCs w:val="20"/>
        </w:rPr>
        <w:t xml:space="preserve">ar; 1995 corresponds to a major shift in tactics by the RUF, while engaging in massacres of large populations; the 1998 case was immediately preceded by the overthrow of President Ahmed Tejan Kabbah by SLA soldiers; the 2000 case corresponds to the military intervention into Sierra Leone by the United Kingdom and Guinea and the reorganization of the UN Mission operating in the country; the 2015 case </w:t>
      </w:r>
      <w:r>
        <w:rPr>
          <w:sz w:val="20"/>
          <w:szCs w:val="20"/>
        </w:rPr>
        <w:t xml:space="preserve">reflects </w:t>
      </w:r>
      <w:r w:rsidRPr="003C46FE">
        <w:rPr>
          <w:sz w:val="20"/>
          <w:szCs w:val="20"/>
        </w:rPr>
        <w:t>the explosive outbreak of Ebola in 2014 and 2015.</w:t>
      </w:r>
    </w:p>
    <w:p w14:paraId="35E50F2D" w14:textId="77777777" w:rsidR="00D63381" w:rsidRDefault="00D63381" w:rsidP="00AD24E7">
      <w:pPr>
        <w:pStyle w:val="FootnoteText"/>
      </w:pPr>
    </w:p>
  </w:footnote>
  <w:footnote w:id="40">
    <w:p w14:paraId="6085DAF8" w14:textId="0573AAB2" w:rsidR="00D63381" w:rsidRDefault="00D63381" w:rsidP="003444A5">
      <w:pPr>
        <w:pStyle w:val="NoSpacing"/>
      </w:pPr>
      <w:r>
        <w:rPr>
          <w:rStyle w:val="FootnoteReference"/>
        </w:rPr>
        <w:footnoteRef/>
      </w:r>
      <w:r>
        <w:t xml:space="preserve"> </w:t>
      </w:r>
      <w:r w:rsidRPr="008D68CC">
        <w:rPr>
          <w:sz w:val="20"/>
          <w:szCs w:val="20"/>
        </w:rPr>
        <w:t xml:space="preserve">APS-generated uncertainty about the external environment has been well discussed in the literature. When the stability of the state is substantially disrupted, ongoing assessments regarding exogenous security threats may undergo substantial re-evaluation and may pose immediate quandaries for policy makers. Will potential adversaries seek to take advantage of the disruption? Will the state be able to continue to respond to external adversaries? Does the shock generate new environmental threats or eliminate existing ones? These questions reflect some of the uncertainties likely to face policy makers. </w:t>
      </w:r>
    </w:p>
  </w:footnote>
  <w:footnote w:id="41">
    <w:p w14:paraId="68F4EC41" w14:textId="77777777" w:rsidR="00D63381" w:rsidRDefault="00D63381" w:rsidP="003444A5">
      <w:pPr>
        <w:pStyle w:val="FootnoteText"/>
      </w:pPr>
      <w:r>
        <w:rPr>
          <w:rStyle w:val="FootnoteReference"/>
        </w:rPr>
        <w:footnoteRef/>
      </w:r>
      <w:r>
        <w:t xml:space="preserve"> For an example of such a political shock leading to a reassessment of policy in the context of domestic leadership survival consideration, see Blavoukos’s (2019:31) analysis of the effect of the Palestinian uprising creating the policy window for the Oslo Accords.</w:t>
      </w:r>
    </w:p>
  </w:footnote>
  <w:footnote w:id="42">
    <w:p w14:paraId="555F6BB8" w14:textId="77777777" w:rsidR="00D63381" w:rsidRDefault="00D63381" w:rsidP="008D68CC">
      <w:pPr>
        <w:pStyle w:val="FootnoteText"/>
      </w:pPr>
      <w:r>
        <w:rPr>
          <w:rStyle w:val="FootnoteReference"/>
        </w:rPr>
        <w:footnoteRef/>
      </w:r>
      <w:r>
        <w:t xml:space="preserve"> For a discussion of selectorate theory and its application, see Bueno de Mesquita et. al. 2003; Siverson and Bueno de Mesquita 2017).   </w:t>
      </w:r>
    </w:p>
  </w:footnote>
  <w:footnote w:id="43">
    <w:p w14:paraId="1ABD4A6D" w14:textId="7C0AFB26" w:rsidR="00D63381" w:rsidRPr="00B52C71" w:rsidRDefault="00D63381" w:rsidP="00C50865">
      <w:pPr>
        <w:pStyle w:val="FootnoteText"/>
        <w:spacing w:after="120"/>
        <w:rPr>
          <w:rFonts w:cstheme="minorHAnsi"/>
        </w:rPr>
      </w:pPr>
      <w:r w:rsidRPr="00606E00">
        <w:rPr>
          <w:rStyle w:val="FootnoteReference"/>
          <w:rFonts w:ascii="Times New Roman" w:hAnsi="Times New Roman" w:cs="Times New Roman"/>
        </w:rPr>
        <w:footnoteRef/>
      </w:r>
      <w:r w:rsidRPr="00606E00">
        <w:rPr>
          <w:rFonts w:ascii="Times New Roman" w:hAnsi="Times New Roman" w:cs="Times New Roman"/>
        </w:rPr>
        <w:t xml:space="preserve"> </w:t>
      </w:r>
      <w:r w:rsidRPr="00B52C71">
        <w:rPr>
          <w:rFonts w:cstheme="minorHAnsi"/>
        </w:rPr>
        <w:t xml:space="preserve">The data are from the CIRI Human Rights Data Project. Further information on construction and source data of the Physical Integrity Rights Index can be located at </w:t>
      </w:r>
      <w:bookmarkStart w:id="7" w:name="_Hlk76052462"/>
      <w:r w:rsidRPr="00B52C71">
        <w:rPr>
          <w:rFonts w:cstheme="minorHAnsi"/>
        </w:rPr>
        <w:t xml:space="preserve">Cingranelli &amp; Richards (1999), and Cingranelli et al. (2014). </w:t>
      </w:r>
      <w:bookmarkEnd w:id="7"/>
    </w:p>
  </w:footnote>
  <w:footnote w:id="44">
    <w:p w14:paraId="30E589E6" w14:textId="16795BAC" w:rsidR="00D63381" w:rsidRDefault="00D63381">
      <w:pPr>
        <w:pStyle w:val="FootnoteText"/>
      </w:pPr>
      <w:r>
        <w:rPr>
          <w:rStyle w:val="FootnoteReference"/>
        </w:rPr>
        <w:footnoteRef/>
      </w:r>
      <w:r>
        <w:t xml:space="preserve"> The data are from the V-Dem – Varieties of Democracy Dataset (Pemstein et al., 2021; Coppedge et al., 2021), using their mass mobilization variable.  </w:t>
      </w:r>
    </w:p>
  </w:footnote>
  <w:footnote w:id="45">
    <w:p w14:paraId="6DE907CC" w14:textId="614974D0" w:rsidR="00D63381" w:rsidRDefault="00D63381">
      <w:pPr>
        <w:pStyle w:val="FootnoteText"/>
      </w:pPr>
      <w:r>
        <w:rPr>
          <w:rStyle w:val="FootnoteReference"/>
        </w:rPr>
        <w:footnoteRef/>
      </w:r>
      <w:r>
        <w:t xml:space="preserve"> The data are from the CSP/INSCR Major Episodes of Political Violence (MEPV) Dataset, using the MEPV scores for armed conflict in neighboring states, reflecting the aggregate number of varied types of unrest neighboring countries experience in a given year (CSP/INSCR, 2019). </w:t>
      </w:r>
    </w:p>
  </w:footnote>
  <w:footnote w:id="46">
    <w:p w14:paraId="7B68528F" w14:textId="70DC84A7" w:rsidR="00D63381" w:rsidRDefault="00D63381">
      <w:pPr>
        <w:pStyle w:val="FootnoteText"/>
      </w:pPr>
      <w:r>
        <w:rPr>
          <w:rStyle w:val="FootnoteReference"/>
        </w:rPr>
        <w:footnoteRef/>
      </w:r>
      <w:r>
        <w:t xml:space="preserve"> The data source is the UN Statistics and Population Division; we use the natural log of the variable to compensate for the highly skewed nature of the data.</w:t>
      </w:r>
    </w:p>
  </w:footnote>
  <w:footnote w:id="47">
    <w:p w14:paraId="24A4572F" w14:textId="0809E24A" w:rsidR="00D63381" w:rsidRDefault="00D63381">
      <w:pPr>
        <w:pStyle w:val="FootnoteText"/>
      </w:pPr>
      <w:r>
        <w:rPr>
          <w:rStyle w:val="FootnoteReference"/>
        </w:rPr>
        <w:footnoteRef/>
      </w:r>
      <w:r>
        <w:t xml:space="preserve"> Data are from the World Bank, using GDP per capita in constant US dollars; the natural log of the variable is used to compensate for the skewed nature of the data.</w:t>
      </w:r>
    </w:p>
  </w:footnote>
  <w:footnote w:id="48">
    <w:p w14:paraId="376DEB88" w14:textId="56D9F806" w:rsidR="00D63381" w:rsidRDefault="00D63381">
      <w:pPr>
        <w:pStyle w:val="FootnoteText"/>
      </w:pPr>
      <w:r>
        <w:rPr>
          <w:rStyle w:val="FootnoteReference"/>
        </w:rPr>
        <w:footnoteRef/>
      </w:r>
      <w:r>
        <w:t xml:space="preserve"> Aid data are from World Bank—Net Aid received in constant 2015 US dollars, with the variable logged.</w:t>
      </w:r>
    </w:p>
  </w:footnote>
  <w:footnote w:id="49">
    <w:p w14:paraId="0031CCF8" w14:textId="792F3E46" w:rsidR="00D63381" w:rsidRDefault="00D63381">
      <w:pPr>
        <w:pStyle w:val="FootnoteText"/>
      </w:pPr>
      <w:r>
        <w:rPr>
          <w:rStyle w:val="FootnoteReference"/>
        </w:rPr>
        <w:footnoteRef/>
      </w:r>
      <w:r>
        <w:t xml:space="preserve"> This is a dichotomous variable for the presence of an active peacekeeping mission; data are generated from the Third-party Peacekeeping Missions Dataset </w:t>
      </w:r>
      <w:bookmarkStart w:id="12" w:name="_Hlk76111710"/>
      <w:r>
        <w:t>(Mullenbach 2013</w:t>
      </w:r>
      <w:bookmarkEnd w:id="12"/>
      <w:r>
        <w:t>).</w:t>
      </w:r>
    </w:p>
  </w:footnote>
  <w:footnote w:id="50">
    <w:p w14:paraId="704E0455" w14:textId="509EF7CE" w:rsidR="00D63381" w:rsidRDefault="00D63381" w:rsidP="003C46FE">
      <w:pPr>
        <w:pStyle w:val="FootnoteText"/>
      </w:pPr>
      <w:r>
        <w:rPr>
          <w:rStyle w:val="FootnoteReference"/>
        </w:rPr>
        <w:footnoteRef/>
      </w:r>
      <w:r>
        <w:t xml:space="preserve"> Care needs to be taken with the interpretation of this variable: the dependent variable has data only for the last eight years of the Cold War; thus, the Cold War variable is not likely to represent well the entire era’s association with human rights.</w:t>
      </w:r>
    </w:p>
  </w:footnote>
  <w:footnote w:id="51">
    <w:p w14:paraId="19763291" w14:textId="29791081" w:rsidR="00D63381" w:rsidRDefault="00D63381">
      <w:pPr>
        <w:pStyle w:val="FootnoteText"/>
      </w:pPr>
      <w:r>
        <w:rPr>
          <w:rStyle w:val="FootnoteReference"/>
        </w:rPr>
        <w:footnoteRef/>
      </w:r>
      <w:r>
        <w:t xml:space="preserve"> The results are available from the authors on request.</w:t>
      </w:r>
    </w:p>
  </w:footnote>
  <w:footnote w:id="52">
    <w:p w14:paraId="18553482" w14:textId="1BC7FD35" w:rsidR="00D63381" w:rsidRDefault="00D63381">
      <w:pPr>
        <w:pStyle w:val="FootnoteText"/>
      </w:pPr>
      <w:r>
        <w:rPr>
          <w:rStyle w:val="FootnoteReference"/>
        </w:rPr>
        <w:footnoteRef/>
      </w:r>
      <w:r>
        <w:t xml:space="preserve"> Our punctuated database is expected to undergo constant refinement and updating. In that sense we ask those interested who may uncover clear cases where a punctuation is not related to a potential political shock to notify the authors. We also urge readers to notify us when they consider an event to have been a political shock but is somehow not linked to any punctuations on our two dimensions of state stability.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E400D"/>
    <w:multiLevelType w:val="hybridMultilevel"/>
    <w:tmpl w:val="0E72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76"/>
    <w:rsid w:val="0000373C"/>
    <w:rsid w:val="00015B28"/>
    <w:rsid w:val="0002139C"/>
    <w:rsid w:val="00024A84"/>
    <w:rsid w:val="00053004"/>
    <w:rsid w:val="0005578E"/>
    <w:rsid w:val="000613C5"/>
    <w:rsid w:val="000624F8"/>
    <w:rsid w:val="00063FE5"/>
    <w:rsid w:val="00077901"/>
    <w:rsid w:val="0008081A"/>
    <w:rsid w:val="00084B6C"/>
    <w:rsid w:val="00087590"/>
    <w:rsid w:val="00087CAD"/>
    <w:rsid w:val="00090C28"/>
    <w:rsid w:val="00092A8C"/>
    <w:rsid w:val="000A24F1"/>
    <w:rsid w:val="000B1B07"/>
    <w:rsid w:val="000B1EAC"/>
    <w:rsid w:val="000B4AA1"/>
    <w:rsid w:val="000C4CEF"/>
    <w:rsid w:val="000D03C8"/>
    <w:rsid w:val="000D201E"/>
    <w:rsid w:val="000E403F"/>
    <w:rsid w:val="000F03AF"/>
    <w:rsid w:val="00113CAD"/>
    <w:rsid w:val="00114577"/>
    <w:rsid w:val="001158B0"/>
    <w:rsid w:val="001167AC"/>
    <w:rsid w:val="00145700"/>
    <w:rsid w:val="00145CEE"/>
    <w:rsid w:val="001612A0"/>
    <w:rsid w:val="0016679D"/>
    <w:rsid w:val="00174BE5"/>
    <w:rsid w:val="00192480"/>
    <w:rsid w:val="00194219"/>
    <w:rsid w:val="001952EB"/>
    <w:rsid w:val="001A1175"/>
    <w:rsid w:val="001B5257"/>
    <w:rsid w:val="001B55D9"/>
    <w:rsid w:val="001C1073"/>
    <w:rsid w:val="001C2110"/>
    <w:rsid w:val="001C44A3"/>
    <w:rsid w:val="001C781E"/>
    <w:rsid w:val="001D1D64"/>
    <w:rsid w:val="001F04E4"/>
    <w:rsid w:val="001F2488"/>
    <w:rsid w:val="001F5F60"/>
    <w:rsid w:val="0020523E"/>
    <w:rsid w:val="0021355E"/>
    <w:rsid w:val="00214C65"/>
    <w:rsid w:val="00222455"/>
    <w:rsid w:val="00223114"/>
    <w:rsid w:val="00227BD0"/>
    <w:rsid w:val="00242E06"/>
    <w:rsid w:val="002506ED"/>
    <w:rsid w:val="00262B65"/>
    <w:rsid w:val="00266215"/>
    <w:rsid w:val="00287601"/>
    <w:rsid w:val="00295656"/>
    <w:rsid w:val="00295CCC"/>
    <w:rsid w:val="002B60F0"/>
    <w:rsid w:val="002C34B6"/>
    <w:rsid w:val="002D254D"/>
    <w:rsid w:val="002D6473"/>
    <w:rsid w:val="002D7E0A"/>
    <w:rsid w:val="002E112F"/>
    <w:rsid w:val="002E4312"/>
    <w:rsid w:val="002F52AF"/>
    <w:rsid w:val="0030140B"/>
    <w:rsid w:val="003043B6"/>
    <w:rsid w:val="00304619"/>
    <w:rsid w:val="00312483"/>
    <w:rsid w:val="0031449E"/>
    <w:rsid w:val="00314ADC"/>
    <w:rsid w:val="00322B1C"/>
    <w:rsid w:val="003327D3"/>
    <w:rsid w:val="003444A5"/>
    <w:rsid w:val="00347E5B"/>
    <w:rsid w:val="00360842"/>
    <w:rsid w:val="00366EFC"/>
    <w:rsid w:val="0037400B"/>
    <w:rsid w:val="003745D3"/>
    <w:rsid w:val="0039342B"/>
    <w:rsid w:val="00394D53"/>
    <w:rsid w:val="00395A45"/>
    <w:rsid w:val="003A5B3A"/>
    <w:rsid w:val="003B02D0"/>
    <w:rsid w:val="003B73F7"/>
    <w:rsid w:val="003C3AFF"/>
    <w:rsid w:val="003C46FE"/>
    <w:rsid w:val="003C7148"/>
    <w:rsid w:val="003F03C7"/>
    <w:rsid w:val="003F110E"/>
    <w:rsid w:val="003F2EE4"/>
    <w:rsid w:val="003F7F76"/>
    <w:rsid w:val="004110C6"/>
    <w:rsid w:val="00415887"/>
    <w:rsid w:val="00420EF0"/>
    <w:rsid w:val="0042486A"/>
    <w:rsid w:val="0043713F"/>
    <w:rsid w:val="0044239C"/>
    <w:rsid w:val="004470D3"/>
    <w:rsid w:val="00451BAA"/>
    <w:rsid w:val="004543A9"/>
    <w:rsid w:val="0045783B"/>
    <w:rsid w:val="00457E3C"/>
    <w:rsid w:val="00461724"/>
    <w:rsid w:val="004678E6"/>
    <w:rsid w:val="00471D34"/>
    <w:rsid w:val="00475988"/>
    <w:rsid w:val="00480C00"/>
    <w:rsid w:val="004835AE"/>
    <w:rsid w:val="004A43B6"/>
    <w:rsid w:val="004B6D76"/>
    <w:rsid w:val="004B70EB"/>
    <w:rsid w:val="004B7C2A"/>
    <w:rsid w:val="004C60E7"/>
    <w:rsid w:val="004C7964"/>
    <w:rsid w:val="004D0FCF"/>
    <w:rsid w:val="004D12D2"/>
    <w:rsid w:val="004E485C"/>
    <w:rsid w:val="004F3C1F"/>
    <w:rsid w:val="004F65CF"/>
    <w:rsid w:val="0050518F"/>
    <w:rsid w:val="0052170E"/>
    <w:rsid w:val="00523868"/>
    <w:rsid w:val="00525930"/>
    <w:rsid w:val="0052598D"/>
    <w:rsid w:val="00527615"/>
    <w:rsid w:val="005347A7"/>
    <w:rsid w:val="00554813"/>
    <w:rsid w:val="00576315"/>
    <w:rsid w:val="0059044F"/>
    <w:rsid w:val="00594D8D"/>
    <w:rsid w:val="0059693F"/>
    <w:rsid w:val="005A1367"/>
    <w:rsid w:val="005B335E"/>
    <w:rsid w:val="005E4E82"/>
    <w:rsid w:val="005E6524"/>
    <w:rsid w:val="00602F1C"/>
    <w:rsid w:val="00613311"/>
    <w:rsid w:val="00614021"/>
    <w:rsid w:val="00614B37"/>
    <w:rsid w:val="00617433"/>
    <w:rsid w:val="00630429"/>
    <w:rsid w:val="00634887"/>
    <w:rsid w:val="00653925"/>
    <w:rsid w:val="0065723B"/>
    <w:rsid w:val="00663321"/>
    <w:rsid w:val="00667404"/>
    <w:rsid w:val="00672908"/>
    <w:rsid w:val="006770C8"/>
    <w:rsid w:val="00686346"/>
    <w:rsid w:val="00686E69"/>
    <w:rsid w:val="006879F6"/>
    <w:rsid w:val="00687EC1"/>
    <w:rsid w:val="006A2AB8"/>
    <w:rsid w:val="006A2C49"/>
    <w:rsid w:val="006A35F2"/>
    <w:rsid w:val="006A3D84"/>
    <w:rsid w:val="006A5339"/>
    <w:rsid w:val="006A5410"/>
    <w:rsid w:val="006B2173"/>
    <w:rsid w:val="006B21BF"/>
    <w:rsid w:val="006B26E5"/>
    <w:rsid w:val="006C4048"/>
    <w:rsid w:val="006C44F3"/>
    <w:rsid w:val="006C639B"/>
    <w:rsid w:val="006D38D4"/>
    <w:rsid w:val="006F0BA1"/>
    <w:rsid w:val="00722733"/>
    <w:rsid w:val="00722DB2"/>
    <w:rsid w:val="0072790B"/>
    <w:rsid w:val="0073576B"/>
    <w:rsid w:val="00740E31"/>
    <w:rsid w:val="007449A6"/>
    <w:rsid w:val="007622A4"/>
    <w:rsid w:val="007637A3"/>
    <w:rsid w:val="00767EB8"/>
    <w:rsid w:val="007778B8"/>
    <w:rsid w:val="007832BC"/>
    <w:rsid w:val="007A15E0"/>
    <w:rsid w:val="007A7F10"/>
    <w:rsid w:val="007B78B0"/>
    <w:rsid w:val="007C26C3"/>
    <w:rsid w:val="007D4BA7"/>
    <w:rsid w:val="007D643C"/>
    <w:rsid w:val="007D7BB5"/>
    <w:rsid w:val="007E3B78"/>
    <w:rsid w:val="007F187C"/>
    <w:rsid w:val="007F480B"/>
    <w:rsid w:val="007F4944"/>
    <w:rsid w:val="007F6276"/>
    <w:rsid w:val="00801E3B"/>
    <w:rsid w:val="00812828"/>
    <w:rsid w:val="00822482"/>
    <w:rsid w:val="00831248"/>
    <w:rsid w:val="008323A5"/>
    <w:rsid w:val="00836F05"/>
    <w:rsid w:val="00843EA7"/>
    <w:rsid w:val="00844166"/>
    <w:rsid w:val="0084426B"/>
    <w:rsid w:val="00847673"/>
    <w:rsid w:val="00850264"/>
    <w:rsid w:val="00863832"/>
    <w:rsid w:val="00866CE1"/>
    <w:rsid w:val="00880649"/>
    <w:rsid w:val="00880B61"/>
    <w:rsid w:val="008833FE"/>
    <w:rsid w:val="008B19C2"/>
    <w:rsid w:val="008B308C"/>
    <w:rsid w:val="008B6BBF"/>
    <w:rsid w:val="008C4096"/>
    <w:rsid w:val="008C4E20"/>
    <w:rsid w:val="008D4B77"/>
    <w:rsid w:val="008D68CC"/>
    <w:rsid w:val="008F2DC2"/>
    <w:rsid w:val="008F5469"/>
    <w:rsid w:val="008F6FB8"/>
    <w:rsid w:val="008F793C"/>
    <w:rsid w:val="0090632F"/>
    <w:rsid w:val="0092599E"/>
    <w:rsid w:val="00935F5E"/>
    <w:rsid w:val="00953CAA"/>
    <w:rsid w:val="009579ED"/>
    <w:rsid w:val="009730EB"/>
    <w:rsid w:val="0097592C"/>
    <w:rsid w:val="0098154E"/>
    <w:rsid w:val="00983063"/>
    <w:rsid w:val="00984F8E"/>
    <w:rsid w:val="009A061F"/>
    <w:rsid w:val="009A087B"/>
    <w:rsid w:val="009A1AA0"/>
    <w:rsid w:val="009A6C74"/>
    <w:rsid w:val="009A7D53"/>
    <w:rsid w:val="009A7F13"/>
    <w:rsid w:val="009B25AC"/>
    <w:rsid w:val="009B3E75"/>
    <w:rsid w:val="009B4541"/>
    <w:rsid w:val="009B77CD"/>
    <w:rsid w:val="009C523C"/>
    <w:rsid w:val="009C6180"/>
    <w:rsid w:val="009D0C5D"/>
    <w:rsid w:val="009D56A8"/>
    <w:rsid w:val="009E4856"/>
    <w:rsid w:val="00A02AE3"/>
    <w:rsid w:val="00A07B64"/>
    <w:rsid w:val="00A17A30"/>
    <w:rsid w:val="00A253FE"/>
    <w:rsid w:val="00A32447"/>
    <w:rsid w:val="00A333A1"/>
    <w:rsid w:val="00A35FE6"/>
    <w:rsid w:val="00A41DE7"/>
    <w:rsid w:val="00A46D1F"/>
    <w:rsid w:val="00A5249A"/>
    <w:rsid w:val="00A5345C"/>
    <w:rsid w:val="00A70B7E"/>
    <w:rsid w:val="00A761D5"/>
    <w:rsid w:val="00A901E0"/>
    <w:rsid w:val="00A95A02"/>
    <w:rsid w:val="00AB1BF9"/>
    <w:rsid w:val="00AB2BEC"/>
    <w:rsid w:val="00AB6ADF"/>
    <w:rsid w:val="00AB6C3B"/>
    <w:rsid w:val="00AC6218"/>
    <w:rsid w:val="00AC7E02"/>
    <w:rsid w:val="00AD02B5"/>
    <w:rsid w:val="00AD24E7"/>
    <w:rsid w:val="00AD344E"/>
    <w:rsid w:val="00AD4130"/>
    <w:rsid w:val="00AF4043"/>
    <w:rsid w:val="00B0215D"/>
    <w:rsid w:val="00B04A16"/>
    <w:rsid w:val="00B078D4"/>
    <w:rsid w:val="00B229B1"/>
    <w:rsid w:val="00B22A61"/>
    <w:rsid w:val="00B24D86"/>
    <w:rsid w:val="00B34E24"/>
    <w:rsid w:val="00B40A23"/>
    <w:rsid w:val="00B41326"/>
    <w:rsid w:val="00B52C71"/>
    <w:rsid w:val="00B54190"/>
    <w:rsid w:val="00B963BB"/>
    <w:rsid w:val="00BB3CCF"/>
    <w:rsid w:val="00BC0959"/>
    <w:rsid w:val="00BD000B"/>
    <w:rsid w:val="00BD3740"/>
    <w:rsid w:val="00BD583A"/>
    <w:rsid w:val="00BD62C0"/>
    <w:rsid w:val="00BE7B0A"/>
    <w:rsid w:val="00BF4A89"/>
    <w:rsid w:val="00C115A5"/>
    <w:rsid w:val="00C17CD2"/>
    <w:rsid w:val="00C21962"/>
    <w:rsid w:val="00C2474C"/>
    <w:rsid w:val="00C24B6A"/>
    <w:rsid w:val="00C2778E"/>
    <w:rsid w:val="00C361A9"/>
    <w:rsid w:val="00C4590D"/>
    <w:rsid w:val="00C45DB8"/>
    <w:rsid w:val="00C50316"/>
    <w:rsid w:val="00C50865"/>
    <w:rsid w:val="00C6005D"/>
    <w:rsid w:val="00C6488D"/>
    <w:rsid w:val="00C66BBE"/>
    <w:rsid w:val="00C67713"/>
    <w:rsid w:val="00C81BD9"/>
    <w:rsid w:val="00C82470"/>
    <w:rsid w:val="00C82EA7"/>
    <w:rsid w:val="00CA2FB2"/>
    <w:rsid w:val="00CA640C"/>
    <w:rsid w:val="00CB0335"/>
    <w:rsid w:val="00CC196D"/>
    <w:rsid w:val="00CC477F"/>
    <w:rsid w:val="00CC5A50"/>
    <w:rsid w:val="00CC68FA"/>
    <w:rsid w:val="00CC71B2"/>
    <w:rsid w:val="00CF6022"/>
    <w:rsid w:val="00D131F4"/>
    <w:rsid w:val="00D16025"/>
    <w:rsid w:val="00D1647D"/>
    <w:rsid w:val="00D165F2"/>
    <w:rsid w:val="00D170B8"/>
    <w:rsid w:val="00D2577C"/>
    <w:rsid w:val="00D25B7D"/>
    <w:rsid w:val="00D41EE2"/>
    <w:rsid w:val="00D543BF"/>
    <w:rsid w:val="00D5511D"/>
    <w:rsid w:val="00D5699C"/>
    <w:rsid w:val="00D63381"/>
    <w:rsid w:val="00D66969"/>
    <w:rsid w:val="00D74666"/>
    <w:rsid w:val="00D7716F"/>
    <w:rsid w:val="00D774D0"/>
    <w:rsid w:val="00D816E0"/>
    <w:rsid w:val="00D84A8F"/>
    <w:rsid w:val="00DA2067"/>
    <w:rsid w:val="00DA2200"/>
    <w:rsid w:val="00DA2FF0"/>
    <w:rsid w:val="00DA31AE"/>
    <w:rsid w:val="00DB32B8"/>
    <w:rsid w:val="00DB628A"/>
    <w:rsid w:val="00DC0C87"/>
    <w:rsid w:val="00DC1C5A"/>
    <w:rsid w:val="00DC2979"/>
    <w:rsid w:val="00DC37F7"/>
    <w:rsid w:val="00DD0956"/>
    <w:rsid w:val="00DF1D92"/>
    <w:rsid w:val="00DF646A"/>
    <w:rsid w:val="00E01F59"/>
    <w:rsid w:val="00E1705E"/>
    <w:rsid w:val="00E45E40"/>
    <w:rsid w:val="00E6419B"/>
    <w:rsid w:val="00E859B4"/>
    <w:rsid w:val="00E915E2"/>
    <w:rsid w:val="00EA5D5A"/>
    <w:rsid w:val="00EB4EFD"/>
    <w:rsid w:val="00EC0307"/>
    <w:rsid w:val="00ED243A"/>
    <w:rsid w:val="00EE29E2"/>
    <w:rsid w:val="00EE39E2"/>
    <w:rsid w:val="00EF4D63"/>
    <w:rsid w:val="00F045D2"/>
    <w:rsid w:val="00F071B5"/>
    <w:rsid w:val="00F11804"/>
    <w:rsid w:val="00F30186"/>
    <w:rsid w:val="00F61390"/>
    <w:rsid w:val="00F63E00"/>
    <w:rsid w:val="00F74DD6"/>
    <w:rsid w:val="00F83580"/>
    <w:rsid w:val="00F95DCA"/>
    <w:rsid w:val="00FA10D6"/>
    <w:rsid w:val="00FB1731"/>
    <w:rsid w:val="00FB1EEF"/>
    <w:rsid w:val="00FC0971"/>
    <w:rsid w:val="00FD2F5D"/>
    <w:rsid w:val="00FE59A8"/>
    <w:rsid w:val="00FE7C16"/>
    <w:rsid w:val="00FF0F69"/>
    <w:rsid w:val="00FF35B7"/>
    <w:rsid w:val="00FF3BB3"/>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B55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1705E"/>
    <w:pPr>
      <w:spacing w:after="0" w:line="240" w:lineRule="auto"/>
    </w:pPr>
    <w:rPr>
      <w:sz w:val="20"/>
      <w:szCs w:val="20"/>
    </w:rPr>
  </w:style>
  <w:style w:type="character" w:customStyle="1" w:styleId="FootnoteTextChar">
    <w:name w:val="Footnote Text Char"/>
    <w:basedOn w:val="DefaultParagraphFont"/>
    <w:link w:val="FootnoteText"/>
    <w:uiPriority w:val="99"/>
    <w:rsid w:val="00E1705E"/>
    <w:rPr>
      <w:sz w:val="20"/>
      <w:szCs w:val="20"/>
    </w:rPr>
  </w:style>
  <w:style w:type="character" w:styleId="FootnoteReference">
    <w:name w:val="footnote reference"/>
    <w:basedOn w:val="DefaultParagraphFont"/>
    <w:uiPriority w:val="99"/>
    <w:semiHidden/>
    <w:unhideWhenUsed/>
    <w:rsid w:val="00E1705E"/>
    <w:rPr>
      <w:vertAlign w:val="superscript"/>
    </w:rPr>
  </w:style>
  <w:style w:type="character" w:styleId="Hyperlink">
    <w:name w:val="Hyperlink"/>
    <w:basedOn w:val="DefaultParagraphFont"/>
    <w:uiPriority w:val="99"/>
    <w:unhideWhenUsed/>
    <w:rsid w:val="00984F8E"/>
    <w:rPr>
      <w:color w:val="0563C1" w:themeColor="hyperlink"/>
      <w:u w:val="single"/>
    </w:rPr>
  </w:style>
  <w:style w:type="paragraph" w:styleId="Header">
    <w:name w:val="header"/>
    <w:basedOn w:val="Normal"/>
    <w:link w:val="HeaderChar"/>
    <w:uiPriority w:val="99"/>
    <w:unhideWhenUsed/>
    <w:rsid w:val="00BB3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CCF"/>
  </w:style>
  <w:style w:type="paragraph" w:styleId="Footer">
    <w:name w:val="footer"/>
    <w:basedOn w:val="Normal"/>
    <w:link w:val="FooterChar"/>
    <w:uiPriority w:val="99"/>
    <w:unhideWhenUsed/>
    <w:rsid w:val="00BB3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CCF"/>
  </w:style>
  <w:style w:type="table" w:styleId="TableGrid">
    <w:name w:val="Table Grid"/>
    <w:basedOn w:val="TableNormal"/>
    <w:uiPriority w:val="39"/>
    <w:rsid w:val="00DB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0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2D0"/>
    <w:rPr>
      <w:rFonts w:ascii="Segoe UI" w:hAnsi="Segoe UI" w:cs="Segoe UI"/>
      <w:sz w:val="18"/>
      <w:szCs w:val="18"/>
    </w:rPr>
  </w:style>
  <w:style w:type="character" w:styleId="UnresolvedMention">
    <w:name w:val="Unresolved Mention"/>
    <w:basedOn w:val="DefaultParagraphFont"/>
    <w:uiPriority w:val="99"/>
    <w:semiHidden/>
    <w:unhideWhenUsed/>
    <w:rsid w:val="009B3E75"/>
    <w:rPr>
      <w:color w:val="605E5C"/>
      <w:shd w:val="clear" w:color="auto" w:fill="E1DFDD"/>
    </w:rPr>
  </w:style>
  <w:style w:type="character" w:customStyle="1" w:styleId="nlmyear">
    <w:name w:val="nlm_year"/>
    <w:basedOn w:val="DefaultParagraphFont"/>
    <w:rsid w:val="00EE29E2"/>
  </w:style>
  <w:style w:type="character" w:customStyle="1" w:styleId="nlmpublisher-loc">
    <w:name w:val="nlm_publisher-loc"/>
    <w:basedOn w:val="DefaultParagraphFont"/>
    <w:rsid w:val="00EE29E2"/>
  </w:style>
  <w:style w:type="character" w:customStyle="1" w:styleId="nlmpublisher-name">
    <w:name w:val="nlm_publisher-name"/>
    <w:basedOn w:val="DefaultParagraphFont"/>
    <w:rsid w:val="00EE29E2"/>
  </w:style>
  <w:style w:type="paragraph" w:styleId="NoSpacing">
    <w:name w:val="No Spacing"/>
    <w:uiPriority w:val="1"/>
    <w:qFormat/>
    <w:rsid w:val="00C82470"/>
    <w:pPr>
      <w:spacing w:after="0" w:line="240" w:lineRule="auto"/>
    </w:pPr>
  </w:style>
  <w:style w:type="character" w:styleId="CommentReference">
    <w:name w:val="annotation reference"/>
    <w:basedOn w:val="DefaultParagraphFont"/>
    <w:uiPriority w:val="99"/>
    <w:semiHidden/>
    <w:unhideWhenUsed/>
    <w:rsid w:val="001C1073"/>
    <w:rPr>
      <w:sz w:val="16"/>
      <w:szCs w:val="16"/>
    </w:rPr>
  </w:style>
  <w:style w:type="paragraph" w:styleId="CommentText">
    <w:name w:val="annotation text"/>
    <w:basedOn w:val="Normal"/>
    <w:link w:val="CommentTextChar"/>
    <w:uiPriority w:val="99"/>
    <w:semiHidden/>
    <w:unhideWhenUsed/>
    <w:rsid w:val="001C1073"/>
    <w:pPr>
      <w:spacing w:line="240" w:lineRule="auto"/>
    </w:pPr>
    <w:rPr>
      <w:sz w:val="20"/>
      <w:szCs w:val="20"/>
    </w:rPr>
  </w:style>
  <w:style w:type="character" w:customStyle="1" w:styleId="CommentTextChar">
    <w:name w:val="Comment Text Char"/>
    <w:basedOn w:val="DefaultParagraphFont"/>
    <w:link w:val="CommentText"/>
    <w:uiPriority w:val="99"/>
    <w:semiHidden/>
    <w:rsid w:val="001C1073"/>
    <w:rPr>
      <w:sz w:val="20"/>
      <w:szCs w:val="20"/>
    </w:rPr>
  </w:style>
  <w:style w:type="paragraph" w:styleId="CommentSubject">
    <w:name w:val="annotation subject"/>
    <w:basedOn w:val="CommentText"/>
    <w:next w:val="CommentText"/>
    <w:link w:val="CommentSubjectChar"/>
    <w:uiPriority w:val="99"/>
    <w:semiHidden/>
    <w:unhideWhenUsed/>
    <w:rsid w:val="001C1073"/>
    <w:rPr>
      <w:b/>
      <w:bCs/>
    </w:rPr>
  </w:style>
  <w:style w:type="character" w:customStyle="1" w:styleId="CommentSubjectChar">
    <w:name w:val="Comment Subject Char"/>
    <w:basedOn w:val="CommentTextChar"/>
    <w:link w:val="CommentSubject"/>
    <w:uiPriority w:val="99"/>
    <w:semiHidden/>
    <w:rsid w:val="001C1073"/>
    <w:rPr>
      <w:b/>
      <w:bCs/>
      <w:sz w:val="20"/>
      <w:szCs w:val="20"/>
    </w:rPr>
  </w:style>
  <w:style w:type="character" w:customStyle="1" w:styleId="name">
    <w:name w:val="name"/>
    <w:basedOn w:val="DefaultParagraphFont"/>
    <w:rsid w:val="009C6180"/>
  </w:style>
  <w:style w:type="character" w:customStyle="1" w:styleId="surname">
    <w:name w:val="surname"/>
    <w:basedOn w:val="DefaultParagraphFont"/>
    <w:rsid w:val="009C6180"/>
  </w:style>
  <w:style w:type="character" w:customStyle="1" w:styleId="given-names">
    <w:name w:val="given-names"/>
    <w:basedOn w:val="DefaultParagraphFont"/>
    <w:rsid w:val="009C6180"/>
  </w:style>
  <w:style w:type="character" w:customStyle="1" w:styleId="article-title">
    <w:name w:val="article-title"/>
    <w:basedOn w:val="DefaultParagraphFont"/>
    <w:rsid w:val="009C6180"/>
  </w:style>
  <w:style w:type="character" w:customStyle="1" w:styleId="source">
    <w:name w:val="source"/>
    <w:basedOn w:val="DefaultParagraphFont"/>
    <w:rsid w:val="009C6180"/>
  </w:style>
  <w:style w:type="character" w:customStyle="1" w:styleId="volume">
    <w:name w:val="volume"/>
    <w:basedOn w:val="DefaultParagraphFont"/>
    <w:rsid w:val="009C6180"/>
  </w:style>
  <w:style w:type="character" w:customStyle="1" w:styleId="year">
    <w:name w:val="year"/>
    <w:basedOn w:val="DefaultParagraphFont"/>
    <w:rsid w:val="009C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280659">
      <w:bodyDiv w:val="1"/>
      <w:marLeft w:val="0"/>
      <w:marRight w:val="0"/>
      <w:marTop w:val="0"/>
      <w:marBottom w:val="0"/>
      <w:divBdr>
        <w:top w:val="none" w:sz="0" w:space="0" w:color="auto"/>
        <w:left w:val="none" w:sz="0" w:space="0" w:color="auto"/>
        <w:bottom w:val="none" w:sz="0" w:space="0" w:color="auto"/>
        <w:right w:val="none" w:sz="0" w:space="0" w:color="auto"/>
      </w:divBdr>
    </w:div>
    <w:div w:id="1109004726">
      <w:bodyDiv w:val="1"/>
      <w:marLeft w:val="0"/>
      <w:marRight w:val="0"/>
      <w:marTop w:val="0"/>
      <w:marBottom w:val="0"/>
      <w:divBdr>
        <w:top w:val="none" w:sz="0" w:space="0" w:color="auto"/>
        <w:left w:val="none" w:sz="0" w:space="0" w:color="auto"/>
        <w:bottom w:val="none" w:sz="0" w:space="0" w:color="auto"/>
        <w:right w:val="none" w:sz="0" w:space="0" w:color="auto"/>
      </w:divBdr>
      <w:divsChild>
        <w:div w:id="901939060">
          <w:marLeft w:val="0"/>
          <w:marRight w:val="0"/>
          <w:marTop w:val="0"/>
          <w:marBottom w:val="0"/>
          <w:divBdr>
            <w:top w:val="none" w:sz="0" w:space="0" w:color="auto"/>
            <w:left w:val="none" w:sz="0" w:space="0" w:color="auto"/>
            <w:bottom w:val="none" w:sz="0" w:space="0" w:color="auto"/>
            <w:right w:val="none" w:sz="0" w:space="0" w:color="auto"/>
          </w:divBdr>
        </w:div>
        <w:div w:id="550112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quest.com/docview/2532159754?pq-origsite=gscholar&amp;fromopenview=true"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ata.worldbank.org/indicator/NY.GDP.MKTP.CD" TargetMode="External"/><Relationship Id="rId2" Type="http://schemas.openxmlformats.org/officeDocument/2006/relationships/hyperlink" Target="https://www.nbcnews.com/news/world/report-nearly-all-terror-attacks-france-carried-out-radicals-already-n955276" TargetMode="External"/><Relationship Id="rId1" Type="http://schemas.openxmlformats.org/officeDocument/2006/relationships/hyperlink" Target="https://books.google.com/ngrams/graph?content=Political+Shocks&amp;year_start=1800&amp;year_end=2019&amp;corpus=26&amp;smoothing=3&amp;direct_url=t1%3B%2CPolitical%20Shocks%3B%2Cc0" TargetMode="External"/><Relationship Id="rId5" Type="http://schemas.openxmlformats.org/officeDocument/2006/relationships/hyperlink" Target="https://www.start.umd.edu/gtd/access/" TargetMode="External"/><Relationship Id="rId4" Type="http://schemas.openxmlformats.org/officeDocument/2006/relationships/hyperlink" Target="http://transresearchconsortium.com/dat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Figure 3: US, Changes in RPE from Previous Year, 1961-2017.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Sheet1!$C$4:$C$59</c:f>
              <c:numCache>
                <c:formatCode>General</c:formatCode>
                <c:ptCount val="56"/>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pt idx="53">
                  <c:v>2015</c:v>
                </c:pt>
                <c:pt idx="54">
                  <c:v>2016</c:v>
                </c:pt>
                <c:pt idx="55">
                  <c:v>2017</c:v>
                </c:pt>
              </c:numCache>
            </c:numRef>
          </c:cat>
          <c:val>
            <c:numRef>
              <c:f>Sheet1!$E$4:$E$59</c:f>
              <c:numCache>
                <c:formatCode>General</c:formatCode>
                <c:ptCount val="56"/>
                <c:pt idx="0">
                  <c:v>6.3865184783935547E-3</c:v>
                </c:pt>
                <c:pt idx="1">
                  <c:v>1.0151982307434082E-2</c:v>
                </c:pt>
                <c:pt idx="2">
                  <c:v>5.6987881660461426E-2</c:v>
                </c:pt>
                <c:pt idx="3">
                  <c:v>5.5544912815093994E-2</c:v>
                </c:pt>
                <c:pt idx="4">
                  <c:v>2.3093223571777344E-3</c:v>
                </c:pt>
                <c:pt idx="5">
                  <c:v>3.8190484046936035E-2</c:v>
                </c:pt>
                <c:pt idx="6">
                  <c:v>2.9633522033691406E-2</c:v>
                </c:pt>
                <c:pt idx="7">
                  <c:v>8.5589230060577393E-2</c:v>
                </c:pt>
                <c:pt idx="8">
                  <c:v>3.8656115531921387E-2</c:v>
                </c:pt>
                <c:pt idx="9">
                  <c:v>7.6152503490447998E-2</c:v>
                </c:pt>
                <c:pt idx="10">
                  <c:v>1.3673245906829834E-2</c:v>
                </c:pt>
                <c:pt idx="11">
                  <c:v>1.2777328491210938E-2</c:v>
                </c:pt>
                <c:pt idx="12">
                  <c:v>1.4615654945373535E-2</c:v>
                </c:pt>
                <c:pt idx="13">
                  <c:v>2.4524092674255371E-2</c:v>
                </c:pt>
                <c:pt idx="14">
                  <c:v>3.1209170818328857E-2</c:v>
                </c:pt>
                <c:pt idx="15">
                  <c:v>3.8298964500427246E-2</c:v>
                </c:pt>
                <c:pt idx="16">
                  <c:v>1.8471240997314453E-2</c:v>
                </c:pt>
                <c:pt idx="17">
                  <c:v>9.0527534484863281E-4</c:v>
                </c:pt>
                <c:pt idx="18">
                  <c:v>4.3421387672424316E-3</c:v>
                </c:pt>
                <c:pt idx="19">
                  <c:v>8.831024169921875E-4</c:v>
                </c:pt>
                <c:pt idx="20">
                  <c:v>7.4958205223083496E-3</c:v>
                </c:pt>
                <c:pt idx="21">
                  <c:v>6.753242015838623E-2</c:v>
                </c:pt>
                <c:pt idx="22">
                  <c:v>4.8081874847412109E-3</c:v>
                </c:pt>
                <c:pt idx="23">
                  <c:v>1.5445351600646973E-2</c:v>
                </c:pt>
                <c:pt idx="24">
                  <c:v>5.2701830863952637E-3</c:v>
                </c:pt>
                <c:pt idx="25">
                  <c:v>3.0727863311767578E-2</c:v>
                </c:pt>
                <c:pt idx="26">
                  <c:v>1.6200482845306396E-2</c:v>
                </c:pt>
                <c:pt idx="27">
                  <c:v>7.0917606353759766E-4</c:v>
                </c:pt>
                <c:pt idx="28">
                  <c:v>6.6179633140563965E-3</c:v>
                </c:pt>
                <c:pt idx="29">
                  <c:v>4.2851567268371582E-3</c:v>
                </c:pt>
                <c:pt idx="30">
                  <c:v>7.3505640029907227E-3</c:v>
                </c:pt>
                <c:pt idx="31">
                  <c:v>2.7980804443359375E-3</c:v>
                </c:pt>
                <c:pt idx="32">
                  <c:v>4.4268965721130371E-3</c:v>
                </c:pt>
                <c:pt idx="33">
                  <c:v>2.5944709777832031E-3</c:v>
                </c:pt>
                <c:pt idx="34">
                  <c:v>7.9746246337890625E-3</c:v>
                </c:pt>
                <c:pt idx="35">
                  <c:v>6.2617063522338867E-3</c:v>
                </c:pt>
                <c:pt idx="36">
                  <c:v>1.0154128074645996E-2</c:v>
                </c:pt>
                <c:pt idx="37">
                  <c:v>5.8233737945556641E-3</c:v>
                </c:pt>
                <c:pt idx="38">
                  <c:v>1.0154247283935547E-3</c:v>
                </c:pt>
                <c:pt idx="39">
                  <c:v>3.4686386585235596E-2</c:v>
                </c:pt>
                <c:pt idx="40">
                  <c:v>7.3885798454284668E-2</c:v>
                </c:pt>
                <c:pt idx="41">
                  <c:v>2.2924184799194336E-2</c:v>
                </c:pt>
                <c:pt idx="42">
                  <c:v>7.0714950561523438E-4</c:v>
                </c:pt>
                <c:pt idx="43">
                  <c:v>3.3032059669494629E-2</c:v>
                </c:pt>
                <c:pt idx="44">
                  <c:v>1.2914478778839111E-2</c:v>
                </c:pt>
                <c:pt idx="45">
                  <c:v>5.9299468994140625E-3</c:v>
                </c:pt>
                <c:pt idx="46">
                  <c:v>3.5953760147094727E-2</c:v>
                </c:pt>
                <c:pt idx="47">
                  <c:v>7.4928641319274902E-2</c:v>
                </c:pt>
                <c:pt idx="48">
                  <c:v>8.3778500556945801E-3</c:v>
                </c:pt>
                <c:pt idx="49">
                  <c:v>5.9449672698974609E-3</c:v>
                </c:pt>
                <c:pt idx="50">
                  <c:v>9.8747014999389648E-4</c:v>
                </c:pt>
                <c:pt idx="51">
                  <c:v>4.2600452899932861E-2</c:v>
                </c:pt>
                <c:pt idx="52">
                  <c:v>5.5876374244689941E-3</c:v>
                </c:pt>
                <c:pt idx="53">
                  <c:v>5.4733157157897949E-3</c:v>
                </c:pt>
                <c:pt idx="54">
                  <c:v>9.9590420722961426E-3</c:v>
                </c:pt>
                <c:pt idx="55">
                  <c:v>2.0535886287689209E-2</c:v>
                </c:pt>
              </c:numCache>
            </c:numRef>
          </c:val>
          <c:smooth val="0"/>
          <c:extLst>
            <c:ext xmlns:c16="http://schemas.microsoft.com/office/drawing/2014/chart" uri="{C3380CC4-5D6E-409C-BE32-E72D297353CC}">
              <c16:uniqueId val="{00000000-75AD-4C47-9672-4D74623B82A3}"/>
            </c:ext>
          </c:extLst>
        </c:ser>
        <c:dLbls>
          <c:showLegendKey val="0"/>
          <c:showVal val="0"/>
          <c:showCatName val="0"/>
          <c:showSerName val="0"/>
          <c:showPercent val="0"/>
          <c:showBubbleSize val="0"/>
        </c:dLbls>
        <c:smooth val="0"/>
        <c:axId val="245483584"/>
        <c:axId val="544582144"/>
      </c:lineChart>
      <c:catAx>
        <c:axId val="24548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582144"/>
        <c:crosses val="autoZero"/>
        <c:auto val="1"/>
        <c:lblAlgn val="ctr"/>
        <c:lblOffset val="100"/>
        <c:noMultiLvlLbl val="0"/>
      </c:catAx>
      <c:valAx>
        <c:axId val="54458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483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Figure</a:t>
            </a:r>
            <a:r>
              <a:rPr lang="en-US" b="1" baseline="0"/>
              <a:t> 4:  Sierra Leone, Changes in RPE from Previous Year, 1962-2017.</a:t>
            </a:r>
            <a:endParaRPr lang="en-US" b="1"/>
          </a:p>
        </c:rich>
      </c:tx>
      <c:layout>
        <c:manualLayout>
          <c:xMode val="edge"/>
          <c:yMode val="edge"/>
          <c:x val="0.11947102766000403"/>
          <c:y val="1.405728342997715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Sheet1!$B$2:$B$57</c:f>
              <c:numCache>
                <c:formatCode>General</c:formatCode>
                <c:ptCount val="56"/>
                <c:pt idx="0">
                  <c:v>1962</c:v>
                </c:pt>
                <c:pt idx="1">
                  <c:v>1963</c:v>
                </c:pt>
                <c:pt idx="2">
                  <c:v>1964</c:v>
                </c:pt>
                <c:pt idx="3">
                  <c:v>1965</c:v>
                </c:pt>
                <c:pt idx="4">
                  <c:v>1966</c:v>
                </c:pt>
                <c:pt idx="5">
                  <c:v>1967</c:v>
                </c:pt>
                <c:pt idx="6">
                  <c:v>1968</c:v>
                </c:pt>
                <c:pt idx="7">
                  <c:v>1969</c:v>
                </c:pt>
                <c:pt idx="8">
                  <c:v>1970</c:v>
                </c:pt>
                <c:pt idx="9">
                  <c:v>1971</c:v>
                </c:pt>
                <c:pt idx="10">
                  <c:v>1972</c:v>
                </c:pt>
                <c:pt idx="11">
                  <c:v>1973</c:v>
                </c:pt>
                <c:pt idx="12">
                  <c:v>1974</c:v>
                </c:pt>
                <c:pt idx="13">
                  <c:v>1975</c:v>
                </c:pt>
                <c:pt idx="14">
                  <c:v>1976</c:v>
                </c:pt>
                <c:pt idx="15">
                  <c:v>1977</c:v>
                </c:pt>
                <c:pt idx="16">
                  <c:v>1978</c:v>
                </c:pt>
                <c:pt idx="17">
                  <c:v>1979</c:v>
                </c:pt>
                <c:pt idx="18">
                  <c:v>1980</c:v>
                </c:pt>
                <c:pt idx="19">
                  <c:v>1981</c:v>
                </c:pt>
                <c:pt idx="20">
                  <c:v>1982</c:v>
                </c:pt>
                <c:pt idx="21">
                  <c:v>1983</c:v>
                </c:pt>
                <c:pt idx="22">
                  <c:v>1984</c:v>
                </c:pt>
                <c:pt idx="23">
                  <c:v>1985</c:v>
                </c:pt>
                <c:pt idx="24">
                  <c:v>1986</c:v>
                </c:pt>
                <c:pt idx="25">
                  <c:v>1987</c:v>
                </c:pt>
                <c:pt idx="26">
                  <c:v>1988</c:v>
                </c:pt>
                <c:pt idx="27">
                  <c:v>1989</c:v>
                </c:pt>
                <c:pt idx="28">
                  <c:v>1990</c:v>
                </c:pt>
                <c:pt idx="29">
                  <c:v>1991</c:v>
                </c:pt>
                <c:pt idx="30">
                  <c:v>1992</c:v>
                </c:pt>
                <c:pt idx="31">
                  <c:v>1993</c:v>
                </c:pt>
                <c:pt idx="32">
                  <c:v>1994</c:v>
                </c:pt>
                <c:pt idx="33">
                  <c:v>1995</c:v>
                </c:pt>
                <c:pt idx="34">
                  <c:v>1996</c:v>
                </c:pt>
                <c:pt idx="35">
                  <c:v>1997</c:v>
                </c:pt>
                <c:pt idx="36">
                  <c:v>1998</c:v>
                </c:pt>
                <c:pt idx="37">
                  <c:v>1999</c:v>
                </c:pt>
                <c:pt idx="38">
                  <c:v>2000</c:v>
                </c:pt>
                <c:pt idx="39">
                  <c:v>2001</c:v>
                </c:pt>
                <c:pt idx="40">
                  <c:v>2002</c:v>
                </c:pt>
                <c:pt idx="41">
                  <c:v>2003</c:v>
                </c:pt>
                <c:pt idx="42">
                  <c:v>2004</c:v>
                </c:pt>
                <c:pt idx="43">
                  <c:v>2005</c:v>
                </c:pt>
                <c:pt idx="44">
                  <c:v>2006</c:v>
                </c:pt>
                <c:pt idx="45">
                  <c:v>2007</c:v>
                </c:pt>
                <c:pt idx="46">
                  <c:v>2008</c:v>
                </c:pt>
                <c:pt idx="47">
                  <c:v>2009</c:v>
                </c:pt>
                <c:pt idx="48">
                  <c:v>2010</c:v>
                </c:pt>
                <c:pt idx="49">
                  <c:v>2011</c:v>
                </c:pt>
                <c:pt idx="50">
                  <c:v>2012</c:v>
                </c:pt>
                <c:pt idx="51">
                  <c:v>2013</c:v>
                </c:pt>
                <c:pt idx="52">
                  <c:v>2014</c:v>
                </c:pt>
                <c:pt idx="53">
                  <c:v>2015</c:v>
                </c:pt>
                <c:pt idx="54">
                  <c:v>2016</c:v>
                </c:pt>
                <c:pt idx="55">
                  <c:v>2017</c:v>
                </c:pt>
              </c:numCache>
            </c:numRef>
          </c:cat>
          <c:val>
            <c:numRef>
              <c:f>Sheet1!$D$2:$D$57</c:f>
              <c:numCache>
                <c:formatCode>General</c:formatCode>
                <c:ptCount val="56"/>
                <c:pt idx="0">
                  <c:v>3.0816912651062012E-2</c:v>
                </c:pt>
                <c:pt idx="1">
                  <c:v>2.5541305541992188E-2</c:v>
                </c:pt>
                <c:pt idx="2">
                  <c:v>2.1509408950805664E-2</c:v>
                </c:pt>
                <c:pt idx="3">
                  <c:v>8.5581600666046143E-2</c:v>
                </c:pt>
                <c:pt idx="4">
                  <c:v>6.1052471399307251E-2</c:v>
                </c:pt>
                <c:pt idx="5">
                  <c:v>0.14820131659507751</c:v>
                </c:pt>
                <c:pt idx="6">
                  <c:v>3.8592815399169922E-3</c:v>
                </c:pt>
                <c:pt idx="7">
                  <c:v>0.17857998609542847</c:v>
                </c:pt>
                <c:pt idx="8">
                  <c:v>0.10244059562683105</c:v>
                </c:pt>
                <c:pt idx="9">
                  <c:v>1.479649543762207E-2</c:v>
                </c:pt>
                <c:pt idx="10">
                  <c:v>1.5210092067718506E-2</c:v>
                </c:pt>
                <c:pt idx="11">
                  <c:v>6.1804056167602539E-3</c:v>
                </c:pt>
                <c:pt idx="12">
                  <c:v>0.18234086036682129</c:v>
                </c:pt>
                <c:pt idx="13">
                  <c:v>7.9034149646759033E-2</c:v>
                </c:pt>
                <c:pt idx="14">
                  <c:v>4.3332934379577637E-2</c:v>
                </c:pt>
                <c:pt idx="15">
                  <c:v>8.1330478191375732E-2</c:v>
                </c:pt>
                <c:pt idx="16">
                  <c:v>6.0552895069122314E-2</c:v>
                </c:pt>
                <c:pt idx="17">
                  <c:v>0.17218083143234253</c:v>
                </c:pt>
                <c:pt idx="18">
                  <c:v>7.1215629577636719E-3</c:v>
                </c:pt>
                <c:pt idx="19">
                  <c:v>9.9306106567382813E-3</c:v>
                </c:pt>
                <c:pt idx="20">
                  <c:v>0.17808127403259277</c:v>
                </c:pt>
                <c:pt idx="21">
                  <c:v>0.19630584120750427</c:v>
                </c:pt>
                <c:pt idx="22">
                  <c:v>5.3464114665985107E-2</c:v>
                </c:pt>
                <c:pt idx="23">
                  <c:v>0.11945667862892151</c:v>
                </c:pt>
                <c:pt idx="24">
                  <c:v>4.6576820313930511E-2</c:v>
                </c:pt>
                <c:pt idx="25">
                  <c:v>0.11718935519456863</c:v>
                </c:pt>
                <c:pt idx="26">
                  <c:v>2.4315968155860901E-2</c:v>
                </c:pt>
                <c:pt idx="27">
                  <c:v>3.1558424234390259E-3</c:v>
                </c:pt>
                <c:pt idx="28">
                  <c:v>0.12833128869533539</c:v>
                </c:pt>
                <c:pt idx="29">
                  <c:v>0.22989341616630554</c:v>
                </c:pt>
                <c:pt idx="30">
                  <c:v>0.19841426610946655</c:v>
                </c:pt>
                <c:pt idx="31">
                  <c:v>0.14847195148468018</c:v>
                </c:pt>
                <c:pt idx="32">
                  <c:v>2.4349689483642578E-3</c:v>
                </c:pt>
                <c:pt idx="33">
                  <c:v>0.21000391244888306</c:v>
                </c:pt>
                <c:pt idx="34">
                  <c:v>0.11009901762008667</c:v>
                </c:pt>
                <c:pt idx="35">
                  <c:v>0.18063479661941528</c:v>
                </c:pt>
                <c:pt idx="36">
                  <c:v>0.21682244539260864</c:v>
                </c:pt>
                <c:pt idx="37">
                  <c:v>7.4521452188491821E-2</c:v>
                </c:pt>
                <c:pt idx="38">
                  <c:v>0.27301028370857239</c:v>
                </c:pt>
                <c:pt idx="39">
                  <c:v>4.5461177825927734E-2</c:v>
                </c:pt>
                <c:pt idx="40">
                  <c:v>5.3971588611602783E-2</c:v>
                </c:pt>
                <c:pt idx="41">
                  <c:v>6.9605648517608643E-2</c:v>
                </c:pt>
                <c:pt idx="42">
                  <c:v>3.821253776550293E-2</c:v>
                </c:pt>
                <c:pt idx="43">
                  <c:v>7.0492029190063477E-3</c:v>
                </c:pt>
                <c:pt idx="44">
                  <c:v>3.2312452793121338E-2</c:v>
                </c:pt>
                <c:pt idx="45">
                  <c:v>3.5537958145141602E-2</c:v>
                </c:pt>
                <c:pt idx="46">
                  <c:v>4.3434619903564453E-2</c:v>
                </c:pt>
                <c:pt idx="47">
                  <c:v>1.9658088684082031E-2</c:v>
                </c:pt>
                <c:pt idx="48">
                  <c:v>2.0229220390319824E-2</c:v>
                </c:pt>
                <c:pt idx="49">
                  <c:v>1.0696113109588623E-2</c:v>
                </c:pt>
                <c:pt idx="50">
                  <c:v>0.1026231050491333</c:v>
                </c:pt>
                <c:pt idx="51">
                  <c:v>8.0949008464813232E-2</c:v>
                </c:pt>
                <c:pt idx="52">
                  <c:v>9.9696516990661621E-3</c:v>
                </c:pt>
                <c:pt idx="53">
                  <c:v>0.63734102249145508</c:v>
                </c:pt>
                <c:pt idx="54">
                  <c:v>3.3506631851196289E-2</c:v>
                </c:pt>
                <c:pt idx="55">
                  <c:v>0.19689643383026123</c:v>
                </c:pt>
              </c:numCache>
            </c:numRef>
          </c:val>
          <c:smooth val="0"/>
          <c:extLst>
            <c:ext xmlns:c16="http://schemas.microsoft.com/office/drawing/2014/chart" uri="{C3380CC4-5D6E-409C-BE32-E72D297353CC}">
              <c16:uniqueId val="{00000000-D256-484F-A77A-88AE0D97702A}"/>
            </c:ext>
          </c:extLst>
        </c:ser>
        <c:dLbls>
          <c:showLegendKey val="0"/>
          <c:showVal val="0"/>
          <c:showCatName val="0"/>
          <c:showSerName val="0"/>
          <c:showPercent val="0"/>
          <c:showBubbleSize val="0"/>
        </c:dLbls>
        <c:smooth val="0"/>
        <c:axId val="1440903487"/>
        <c:axId val="1262565743"/>
      </c:lineChart>
      <c:catAx>
        <c:axId val="1440903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565743"/>
        <c:crosses val="autoZero"/>
        <c:auto val="1"/>
        <c:lblAlgn val="ctr"/>
        <c:lblOffset val="100"/>
        <c:noMultiLvlLbl val="0"/>
      </c:catAx>
      <c:valAx>
        <c:axId val="12625657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09034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0.04167</cdr:x>
      <cdr:y>0.48205</cdr:y>
    </cdr:from>
    <cdr:to>
      <cdr:x>0.99884</cdr:x>
      <cdr:y>0.48462</cdr:y>
    </cdr:to>
    <cdr:cxnSp macro="">
      <cdr:nvCxnSpPr>
        <cdr:cNvPr id="3" name="Straight Connector 2"/>
        <cdr:cNvCxnSpPr/>
      </cdr:nvCxnSpPr>
      <cdr:spPr>
        <a:xfrm xmlns:a="http://schemas.openxmlformats.org/drawingml/2006/main">
          <a:off x="342900" y="1790700"/>
          <a:ext cx="7877175" cy="952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0.05287</cdr:x>
      <cdr:y>0.68225</cdr:y>
    </cdr:from>
    <cdr:to>
      <cdr:x>0.99037</cdr:x>
      <cdr:y>0.68489</cdr:y>
    </cdr:to>
    <cdr:cxnSp macro="">
      <cdr:nvCxnSpPr>
        <cdr:cNvPr id="3" name="Straight Connector 2"/>
        <cdr:cNvCxnSpPr/>
      </cdr:nvCxnSpPr>
      <cdr:spPr>
        <a:xfrm xmlns:a="http://schemas.openxmlformats.org/drawingml/2006/main">
          <a:off x="314257" y="1920068"/>
          <a:ext cx="5572125" cy="743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4E50C-A1B3-4A16-BAC0-ED94EE58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10182</Words>
  <Characters>58043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2021-07-23T15:04:00Z</dcterms:created>
  <dcterms:modified xsi:type="dcterms:W3CDTF">2021-07-29T01:42:00Z</dcterms:modified>
</cp:coreProperties>
</file>